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BDA96" w14:textId="77777777" w:rsidR="002B62A8" w:rsidRDefault="002B62A8" w:rsidP="002B62A8">
      <w:pPr>
        <w:rPr>
          <w:rtl/>
        </w:rPr>
      </w:pPr>
      <w:r>
        <w:rPr>
          <w:rtl/>
        </w:rPr>
        <w:t>ביכורי יעקב סימן תרלג),  סעיף א</w:t>
      </w:r>
    </w:p>
    <w:p w14:paraId="793D7EAF" w14:textId="77777777" w:rsidR="002B62A8" w:rsidRDefault="002B62A8" w:rsidP="002B62A8">
      <w:pPr>
        <w:rPr>
          <w:rtl/>
        </w:rPr>
      </w:pPr>
      <w:r>
        <w:rPr>
          <w:rtl/>
        </w:rPr>
        <w:t>(א) אמה. בת ו' טפחים מצומצמות (ב"י, מג"א ריש הסי') והיינו הכא להחמיר אבל לענין גובה י"ט וזע"ז ברבוע מרווחת בעינן שהוא חצי אצבע יותר מו' טפחים לאמה כ"כ בפמ"ג (א"א שם). ולפ"ז לענין סכך פסול ד"ט ומן הצד ד"א ולענין אויר ג"ט אזלינן ג"כ לחומרא ומשערינן האמה בו' טפחים מצומצמות:</w:t>
      </w:r>
    </w:p>
    <w:p w14:paraId="473209BE" w14:textId="77777777" w:rsidR="002B62A8" w:rsidRDefault="002B62A8" w:rsidP="002B62A8">
      <w:pPr>
        <w:rPr>
          <w:rtl/>
        </w:rPr>
      </w:pPr>
      <w:r>
        <w:rPr>
          <w:rtl/>
        </w:rPr>
        <w:t>(ב) פסולה. כיון שדרך לעשות כן דירת קבע וסוכה דירת עראי בעינן. אבל בפחות מכ', אפילו עשה מחיצות של ברזל ג"כ כשר כמבואר סוכה דף ב'. ועיין בפמ"ג (א"א סק"ב) שמסופק ביש סכך תוך חלל כ' וסכך אחר עליו למעלה מכ', ויש חלל טפח ביניהם, אם אמרינן להצטרף. ולענ"ד יש להקל דהא בכ"מ אמרינן לבוד להקל, ועסי' תרכ"ח:</w:t>
      </w:r>
    </w:p>
    <w:p w14:paraId="65AC95C3" w14:textId="77777777" w:rsidR="002B62A8" w:rsidRDefault="002B62A8" w:rsidP="002B62A8">
      <w:pPr>
        <w:rPr>
          <w:rtl/>
        </w:rPr>
      </w:pPr>
      <w:r>
        <w:rPr>
          <w:rtl/>
        </w:rPr>
        <w:t>סעיף ב</w:t>
      </w:r>
    </w:p>
    <w:p w14:paraId="28FA4E94" w14:textId="77777777" w:rsidR="002B62A8" w:rsidRDefault="002B62A8" w:rsidP="002B62A8">
      <w:pPr>
        <w:rPr>
          <w:rtl/>
        </w:rPr>
      </w:pPr>
      <w:r>
        <w:rPr>
          <w:rtl/>
        </w:rPr>
        <w:t>(ג) למטה. עד שמגיע לחלל כ'. ואף על גב דכשהסכך למעלה מכ' כשר, מ"מ הוצין לא חשיבי כ"כ ובעינן שירדו לחלל כ', כ"כ המג"א (סק"ב) בשם הרא"ש והר"ן. אכן באמת בהרא"ש שהביא הב"י כתוב היפך מזה, דאפילו לא יורדין לחלל כ' ג"כ כשר. ובמחצית השקל הגי' במג"א שלא חילק בין הוצין לסכך, אלא שרצה ליתן טעם למה בעינן בהוצין דוקא שיהיה במה שירד צלתה מרובה, ובסכך לא בעינן כן, ע"ש ובפמ"ג (א"א שם). אבל באמת גם בהוצין לא בעינן רק שירדו עד סוף חלל כ':</w:t>
      </w:r>
    </w:p>
    <w:p w14:paraId="25A55D75" w14:textId="77777777" w:rsidR="002B62A8" w:rsidRDefault="002B62A8" w:rsidP="002B62A8">
      <w:pPr>
        <w:rPr>
          <w:rtl/>
        </w:rPr>
      </w:pPr>
      <w:r>
        <w:rPr>
          <w:rtl/>
        </w:rPr>
        <w:t>סעיף ג</w:t>
      </w:r>
    </w:p>
    <w:p w14:paraId="53FF153D" w14:textId="77777777" w:rsidR="002B62A8" w:rsidRDefault="002B62A8" w:rsidP="002B62A8">
      <w:pPr>
        <w:rPr>
          <w:rtl/>
        </w:rPr>
      </w:pPr>
      <w:r>
        <w:rPr>
          <w:rtl/>
        </w:rPr>
        <w:t>(ד) לא הוי מיעוט. דלאו מין סכך הוא, רש"י (מג"א סק"ג). וכתב בפמ"ג (א"א שם) שמשמע מלבוש דאפילו מיעט בעשבים ופרחים, ג"כ לא הוי מיעוט כל שתלה אותן לנאותה בלבד:</w:t>
      </w:r>
    </w:p>
    <w:p w14:paraId="7BDEA6CA" w14:textId="77777777" w:rsidR="002B62A8" w:rsidRDefault="002B62A8" w:rsidP="002B62A8">
      <w:pPr>
        <w:rPr>
          <w:rtl/>
        </w:rPr>
      </w:pPr>
      <w:r>
        <w:rPr>
          <w:rtl/>
        </w:rPr>
        <w:t>סעיף ד</w:t>
      </w:r>
    </w:p>
    <w:p w14:paraId="27B18739" w14:textId="77777777" w:rsidR="002B62A8" w:rsidRDefault="002B62A8" w:rsidP="002B62A8">
      <w:pPr>
        <w:rPr>
          <w:rtl/>
        </w:rPr>
      </w:pPr>
      <w:r>
        <w:rPr>
          <w:rtl/>
        </w:rPr>
        <w:t>(ה) בתבן. בין בתבן בין בעפר בעינן שיבטל בפירוש, ודלא כהטור. ועיין בט"ז (סק"ד), שרצה לומר שלהב"י הי' נוסחא אחרת בטור מדלא הקשה עליו, ולא ראה שהב"י בבדק הבית באמת הקשה עליו כן. גם בד"מ (אות א') הקשה עליו כקושית הט"ז, ע"ש:</w:t>
      </w:r>
    </w:p>
    <w:p w14:paraId="609D68A7" w14:textId="77777777" w:rsidR="002B62A8" w:rsidRDefault="002B62A8" w:rsidP="002B62A8">
      <w:pPr>
        <w:rPr>
          <w:rtl/>
        </w:rPr>
      </w:pPr>
      <w:r>
        <w:rPr>
          <w:rtl/>
        </w:rPr>
        <w:lastRenderedPageBreak/>
        <w:t>(ו) הרי זה מיעוט. במג"א (סק"ד) כתב שלהי"א בסי' שנ"ח (ס"ב) צריך שיבטל לעולם, ולא על ימי החג דוקא. אכן בלבוש כתב דדי אם מבטלו לז' ימי החג, וכן היא דעת רש"י והרא"ש והר"ן. אבל לדעת הריטב"א בעינן שיבטל לעולם, וכ"כ ג"כ המרדכי בשם ר"ח וראבי"ה. וראיתי בתה"ד סי' ע"ה שהביא הפלוגתא דרבוותא ולא הכריע, אבל בדרישה כתב בפשיטות דסגי בבטול לז' ימי החג. והנה בפמ"ג (א"א שם) רצה לעשות פשר דבר שיאמר בפה שמבטל לעולם, ואז מהני אף שבלבו לא רצה לבטלו רק על ז' ימי החג. ולא הבנתי מה מועיל בטול בפה אם אין בלבו כן. גם בריטב"א דף ד' כתב בכה"ג, דדברים שבלב אינן דברים לא שייך בזה. ובאלי' רבה סי' שנ"ח נראה ג"כ שדעתו להלכה בפשיטות כדעת המקילין. וכתב עוד במג"א, ונ"ל שאסור למעטה ביום טוב:</w:t>
      </w:r>
    </w:p>
    <w:p w14:paraId="11C4AB6F" w14:textId="77777777" w:rsidR="002B62A8" w:rsidRDefault="002B62A8" w:rsidP="002B62A8">
      <w:pPr>
        <w:rPr>
          <w:rtl/>
        </w:rPr>
      </w:pPr>
      <w:r>
        <w:rPr>
          <w:rtl/>
        </w:rPr>
        <w:t>סעיף ה</w:t>
      </w:r>
    </w:p>
    <w:p w14:paraId="40F16FDB" w14:textId="77777777" w:rsidR="002B62A8" w:rsidRDefault="002B62A8" w:rsidP="002B62A8">
      <w:pPr>
        <w:rPr>
          <w:rtl/>
        </w:rPr>
      </w:pPr>
      <w:r>
        <w:rPr>
          <w:rtl/>
        </w:rPr>
        <w:t>(ז) והלאה. משום פסל היוצא מן הסוכה, ועיין מה שכתבתי סי' תרל"א ס"ק ז':</w:t>
      </w:r>
    </w:p>
    <w:p w14:paraId="095CF6AF" w14:textId="77777777" w:rsidR="002B62A8" w:rsidRDefault="002B62A8" w:rsidP="002B62A8">
      <w:pPr>
        <w:rPr>
          <w:rtl/>
        </w:rPr>
      </w:pPr>
      <w:r>
        <w:rPr>
          <w:rtl/>
        </w:rPr>
        <w:t>סעיף ו</w:t>
      </w:r>
    </w:p>
    <w:p w14:paraId="4E704E0C" w14:textId="77777777" w:rsidR="002B62A8" w:rsidRDefault="002B62A8" w:rsidP="002B62A8">
      <w:pPr>
        <w:rPr>
          <w:rtl/>
        </w:rPr>
      </w:pPr>
      <w:r>
        <w:rPr>
          <w:rtl/>
        </w:rPr>
        <w:t>(ח) על האצטבא. לאו דוקא על האצטבא, דכנגד הפתח שאין שם דופן כלל ודאי כשר אפילו חוץ לאצטבא מטעם פסל, ולא אתי לאפוקי אלא שאין כשר מן הצד, כיון שאותו צד ע"כ אתה מחשבו כדופן עקומה א"כ אין לחשבו שוב כסכך. כ"כ במחצית השקל, ובפמ"ג (א"א סק"ו) הניח זה בצ"ע. אכן מה שמסופק הפמ"ג אם להתיר אפילו מן הצד באותו חלק מן האצטבא שהוא יותר על ז', כיון ששם לא מצרכינן הצד עוד לדופן עקומה חשבינן כפסל היוצא מן הסוכה, לא נראה לענ"ד. דלא מצינו פסל היוצא שכשר רק היוצא מכנגד סכך הכשר ממש, וכ"כ בפשיטות ג"כ במחצית השקל. ולכן אין כשר חוץ לאצטבא רק מה שכנגד הפתח:</w:t>
      </w:r>
    </w:p>
    <w:p w14:paraId="456EFE39" w14:textId="77777777" w:rsidR="002B62A8" w:rsidRDefault="002B62A8" w:rsidP="002B62A8">
      <w:pPr>
        <w:rPr>
          <w:rtl/>
        </w:rPr>
      </w:pPr>
      <w:r>
        <w:rPr>
          <w:rtl/>
        </w:rPr>
        <w:t>סעיף ז</w:t>
      </w:r>
    </w:p>
    <w:p w14:paraId="4E1B9EB5" w14:textId="77777777" w:rsidR="002B62A8" w:rsidRDefault="002B62A8" w:rsidP="002B62A8">
      <w:pPr>
        <w:rPr>
          <w:rtl/>
        </w:rPr>
      </w:pPr>
      <w:r>
        <w:rPr>
          <w:rtl/>
        </w:rPr>
        <w:t xml:space="preserve">(ט) באמצע. גם כאן לאו דוקא על האצטבא, דבמקום שאין דופן, כגון נגד הפתח, מותר מטעם פסל. וביש לו דפנות בארבע צדדים, י"ל דכשר בכל ד' צדדים, דבכל פעם יכול לומר אני מחשב זה כפסל וג' דפנות כדופן עקומה. או עכ"פ בשני בני אדם אפשר לומר כן, שזה יכול לשמש בצד זה ויחשוב אותה כפסל וצדדים אחרים כדופן עקומה, ואדם אחר יכול להשתמש בצד שכנגדו כן </w:t>
      </w:r>
      <w:r>
        <w:rPr>
          <w:rtl/>
        </w:rPr>
        <w:lastRenderedPageBreak/>
        <w:t>ויחשוב הפסל שחבירו יושב תחתיו כדופן, ושהוא יושב תחתיו כפסל היוצא מן הסוכה. ולכאורה ראי' שזה מותר ממה שכתב הטור בסי' תרל"ב, הבאתיו שם ס"ק ז', וממה שכתב המג"א כאן ס"ק ו' ע"ש ובמחצית השקל, ולדינא צ"ע. ועכ"פ בשני בני אדם יש להתיר כן:</w:t>
      </w:r>
    </w:p>
    <w:p w14:paraId="14A462F8" w14:textId="77777777" w:rsidR="002B62A8" w:rsidRDefault="002B62A8" w:rsidP="002B62A8">
      <w:pPr>
        <w:rPr>
          <w:rtl/>
        </w:rPr>
      </w:pPr>
      <w:r>
        <w:rPr>
          <w:rtl/>
        </w:rPr>
        <w:t>סעיף ט</w:t>
      </w:r>
    </w:p>
    <w:p w14:paraId="01757613" w14:textId="77777777" w:rsidR="002B62A8" w:rsidRDefault="002B62A8" w:rsidP="002B62A8">
      <w:pPr>
        <w:rPr>
          <w:rtl/>
        </w:rPr>
      </w:pPr>
      <w:r>
        <w:rPr>
          <w:rtl/>
        </w:rPr>
        <w:t>(י) הנויין. וה"ה כל דבר שאין חשוב אוהל (מג"א סק"ז). וכתב בפמ"ג (א"א שם) ואפשר אף נוי ממין סוכה, כגון שושנים ועשבים נאים, אין ממעטין השיעור של י' טפחים, ע"ש:</w:t>
      </w:r>
    </w:p>
    <w:p w14:paraId="123F704D" w14:textId="77777777" w:rsidR="002B62A8" w:rsidRDefault="002B62A8" w:rsidP="002B62A8">
      <w:pPr>
        <w:rPr>
          <w:rtl/>
        </w:rPr>
      </w:pPr>
      <w:r>
        <w:rPr>
          <w:rtl/>
        </w:rPr>
        <w:t>סעיף י</w:t>
      </w:r>
    </w:p>
    <w:p w14:paraId="26C3F2B2" w14:textId="77777777" w:rsidR="002B62A8" w:rsidRDefault="002B62A8" w:rsidP="002B62A8">
      <w:pPr>
        <w:rPr>
          <w:rtl/>
        </w:rPr>
      </w:pPr>
      <w:r>
        <w:rPr>
          <w:rtl/>
        </w:rPr>
        <w:t>(יא) ג' טפחים כשרה. משמע אפילו חוץ לחקק. אבל בטור כתב דוקא תוך החקק, אבל חוץ לחקק ליכא מחיצה כלל, וכן עיקר (ב"ח, מג"א סק"ח). אכן הקשה במג"א למה פסק סי' תרל"א (ס"י) בסוכה כמין צריף שמותר לישן תחת הדפנות, אף ששם ג"כ אין הדפנות גבוהות עשרה מטעם פסל היוצא מן הסוכה, והכא לא. ולענ"ד י"ל כיון דסבר הטור דחוץ לחקק ליכא מחיצה, ע"כ היינו משום דחשבינן ע"י לבוד כאלו נכנסה המחיצה לפנים ונתחברה עם החקק, ולכן אין להתיר שוב חוץ לחקק משום פסל היוצא כיון שהמחיצה מפסקת ביניהם. ואפילו להחמיר לא חשבינן כהאי גוונא כפסל היוצא, כגון לענין נסר רחב ד' שמקצתו בפנים ומקצתו יוצא חוץ למחיצה דכשר, כמש"כ סי' תרל"ב ס"ק ג', משא"כ בהא דצריף שיש לצרף הדפנות עם הסוכה ואין הפסק ביניהם. ולכן מותר לישן תחת הדפנות מטעם פסל היוצא מן הסוכה:</w:t>
      </w:r>
    </w:p>
    <w:p w14:paraId="464268E6" w14:textId="77777777" w:rsidR="002B62A8" w:rsidRDefault="002B62A8" w:rsidP="002B62A8">
      <w:pPr>
        <w:rPr>
          <w:rtl/>
        </w:rPr>
      </w:pPr>
      <w:r>
        <w:rPr>
          <w:rtl/>
        </w:rPr>
        <w:t>(יב) כשרה. וה"ה אם ניטל מן הסכך מלמטה עד שנעשית גבוה עשרה כשרה, כמש"כ סי' תרל"ה (מג"א סק"ח). ועמש"כ שם לענין גדיש:</w:t>
      </w:r>
    </w:p>
    <w:p w14:paraId="221AD6F2" w14:textId="7CBF13A9" w:rsidR="0045582E" w:rsidRPr="002B62A8" w:rsidRDefault="002B62A8" w:rsidP="002B62A8">
      <w:pPr>
        <w:rPr>
          <w:rFonts w:hint="cs"/>
          <w:rtl/>
        </w:rPr>
      </w:pPr>
      <w:r>
        <w:rPr>
          <w:rtl/>
        </w:rPr>
        <w:t xml:space="preserve">(יג) פסולה. הפמ"ג (א"א סק"ט) מסופק בבור עמוק י' טפחים ונעץ על שפתו ד' קונדסין גבוהין וסיכך על גבן, אי אמרינן גוד אחית דמחיצות נכרות בפנים, או דלמא מחיצות נכרות מבחוץ בעינן, והניח בצ"ע. והנה עיקר ספקו לכאורה נפשט, דהא בסי' תר"ל ס"א סתם השו"ע כשיטת הסוברים דנעץ ד' קונדסין על שפת הגג לא מהני, והיינו כמש"כ הר"ן דלא אמרינן גוד אסיק לענין סוכה כיון דהאבעיא בגמרא לא אפשטה אזלינן לחומרא, א"כ גם הכא לא אמרינן גוד </w:t>
      </w:r>
      <w:r>
        <w:rPr>
          <w:rtl/>
        </w:rPr>
        <w:lastRenderedPageBreak/>
        <w:t>אחית. אכן באמת לא הבנתי למה צריך כאן לגוד אחית או אסיק, כיון דהבור עמוק עשרה א"כ יש כאן מחיצה עשרה, ואז כשרה הסוכה אפילו הסכך גבוה הרבה כמבואר סי' תר"ל ס"ט. וא"כ אין כאן ספק אלא אי חשבינן זה מחיצות הנכרות כיון שאינן ניכרים רק בפנים. וזה לכאורה יש לפשוט ממה דמכשרינן בסוכה דף י"ט (ע"א) נראה מבפנים ושוה מבחוץ, והכי נקטינן כמש"כ סי' תר"ל ס"ק כ"ה. דכמו דמכשרינן מחיצה שלישית של טפח כשאינה נראה מבחוץ רק בפנים, כמו כן יש להכשיר ג"כ בשאר מחיצות, כנלענ"ד:</w:t>
      </w:r>
    </w:p>
    <w:sectPr w:rsidR="0045582E" w:rsidRPr="002B62A8" w:rsidSect="00F57D5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vorna">
    <w:panose1 w:val="00000000000000000000"/>
    <w:charset w:val="B1"/>
    <w:family w:val="auto"/>
    <w:pitch w:val="variable"/>
    <w:sig w:usb0="00000801" w:usb1="00000000" w:usb2="00000000" w:usb3="00000000" w:csb0="00000020" w:csb1="00000000"/>
  </w:font>
  <w:font w:name="FrankRe AAA Medium">
    <w:panose1 w:val="00000600000000000000"/>
    <w:charset w:val="00"/>
    <w:family w:val="modern"/>
    <w:notTrueType/>
    <w:pitch w:val="variable"/>
    <w:sig w:usb0="A00008EF" w:usb1="4000E47A" w:usb2="00000000" w:usb3="00000000" w:csb0="000000B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B62A8"/>
    <w:rsid w:val="00083381"/>
    <w:rsid w:val="002B62A8"/>
    <w:rsid w:val="0045582E"/>
    <w:rsid w:val="0057293F"/>
    <w:rsid w:val="008117A5"/>
    <w:rsid w:val="008452EA"/>
    <w:rsid w:val="00F2785B"/>
    <w:rsid w:val="00F57D53"/>
    <w:rsid w:val="00FD4E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921C"/>
  <w15:chartTrackingRefBased/>
  <w15:docId w15:val="{C4C4E162-B564-4C3D-B13B-62374304F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62A8"/>
    <w:pPr>
      <w:bidi/>
      <w:spacing w:after="240" w:line="360" w:lineRule="auto"/>
      <w:jc w:val="both"/>
    </w:pPr>
    <w:rPr>
      <w:rFonts w:ascii="Narkisim" w:hAnsi="Narkisim" w:cs="Narkisim"/>
      <w:sz w:val="30"/>
      <w:szCs w:val="30"/>
    </w:rPr>
  </w:style>
  <w:style w:type="paragraph" w:styleId="1">
    <w:name w:val="heading 1"/>
    <w:basedOn w:val="2"/>
    <w:next w:val="a"/>
    <w:link w:val="10"/>
    <w:uiPriority w:val="9"/>
    <w:qFormat/>
    <w:rsid w:val="008117A5"/>
    <w:pPr>
      <w:jc w:val="center"/>
      <w:outlineLvl w:val="0"/>
    </w:pPr>
    <w:rPr>
      <w:b w:val="0"/>
      <w:bCs w:val="0"/>
      <w:sz w:val="32"/>
      <w:szCs w:val="32"/>
    </w:rPr>
  </w:style>
  <w:style w:type="paragraph" w:styleId="2">
    <w:name w:val="heading 2"/>
    <w:basedOn w:val="a"/>
    <w:next w:val="a"/>
    <w:link w:val="20"/>
    <w:uiPriority w:val="9"/>
    <w:unhideWhenUsed/>
    <w:qFormat/>
    <w:rsid w:val="008117A5"/>
    <w:pPr>
      <w:keepNext/>
      <w:keepLines/>
      <w:spacing w:before="40" w:after="0"/>
      <w:outlineLvl w:val="1"/>
    </w:pPr>
    <w:rPr>
      <w:rFonts w:eastAsiaTheme="majorEastAsia"/>
      <w:b/>
      <w:bCs/>
      <w:color w:val="365F91" w:themeColor="accent1" w:themeShade="BF"/>
      <w:sz w:val="26"/>
      <w:szCs w:val="26"/>
    </w:rPr>
  </w:style>
  <w:style w:type="paragraph" w:styleId="3">
    <w:name w:val="heading 3"/>
    <w:basedOn w:val="a"/>
    <w:next w:val="a"/>
    <w:link w:val="30"/>
    <w:uiPriority w:val="9"/>
    <w:unhideWhenUsed/>
    <w:qFormat/>
    <w:rsid w:val="008117A5"/>
    <w:pPr>
      <w:keepNext/>
      <w:keepLines/>
      <w:spacing w:before="40" w:after="0"/>
      <w:outlineLvl w:val="2"/>
    </w:pPr>
    <w:rPr>
      <w:rFonts w:asciiTheme="majorHAnsi" w:eastAsiaTheme="majorEastAsia" w:hAnsiTheme="majorHAnsi" w:cs="Livorna"/>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8117A5"/>
    <w:rPr>
      <w:rFonts w:ascii="FrankRe AAA Medium" w:eastAsiaTheme="majorEastAsia" w:hAnsi="FrankRe AAA Medium" w:cs="FrankRe AAA Medium"/>
      <w:b/>
      <w:bCs/>
      <w:color w:val="365F91" w:themeColor="accent1" w:themeShade="BF"/>
      <w:sz w:val="32"/>
      <w:szCs w:val="32"/>
    </w:rPr>
  </w:style>
  <w:style w:type="character" w:customStyle="1" w:styleId="20">
    <w:name w:val="כותרת 2 תו"/>
    <w:basedOn w:val="a0"/>
    <w:link w:val="2"/>
    <w:uiPriority w:val="9"/>
    <w:rsid w:val="008117A5"/>
    <w:rPr>
      <w:rFonts w:ascii="FrankRe AAA Medium" w:eastAsiaTheme="majorEastAsia" w:hAnsi="FrankRe AAA Medium" w:cs="FrankRe AAA Medium"/>
      <w:b/>
      <w:bCs/>
      <w:color w:val="365F91" w:themeColor="accent1" w:themeShade="BF"/>
      <w:sz w:val="26"/>
      <w:szCs w:val="26"/>
    </w:rPr>
  </w:style>
  <w:style w:type="character" w:customStyle="1" w:styleId="30">
    <w:name w:val="כותרת 3 תו"/>
    <w:basedOn w:val="a0"/>
    <w:link w:val="3"/>
    <w:uiPriority w:val="9"/>
    <w:rsid w:val="008117A5"/>
    <w:rPr>
      <w:rFonts w:asciiTheme="majorHAnsi" w:eastAsiaTheme="majorEastAsia" w:hAnsiTheme="majorHAnsi" w:cs="Livorna"/>
      <w:color w:val="243F60" w:themeColor="accent1" w:themeShade="7F"/>
      <w:sz w:val="24"/>
      <w:szCs w:val="24"/>
    </w:rPr>
  </w:style>
  <w:style w:type="character" w:styleId="a3">
    <w:name w:val="annotation reference"/>
    <w:basedOn w:val="a0"/>
    <w:uiPriority w:val="99"/>
    <w:semiHidden/>
    <w:unhideWhenUsed/>
    <w:rsid w:val="002B62A8"/>
    <w:rPr>
      <w:sz w:val="16"/>
      <w:szCs w:val="16"/>
    </w:rPr>
  </w:style>
  <w:style w:type="paragraph" w:styleId="a4">
    <w:name w:val="annotation text"/>
    <w:basedOn w:val="a"/>
    <w:link w:val="a5"/>
    <w:uiPriority w:val="99"/>
    <w:unhideWhenUsed/>
    <w:rsid w:val="002B62A8"/>
    <w:pPr>
      <w:spacing w:line="240" w:lineRule="auto"/>
    </w:pPr>
    <w:rPr>
      <w:sz w:val="20"/>
      <w:szCs w:val="20"/>
    </w:rPr>
  </w:style>
  <w:style w:type="character" w:customStyle="1" w:styleId="a5">
    <w:name w:val="טקסט הערה תו"/>
    <w:basedOn w:val="a0"/>
    <w:link w:val="a4"/>
    <w:uiPriority w:val="99"/>
    <w:rsid w:val="002B62A8"/>
    <w:rPr>
      <w:rFonts w:ascii="Narkisim" w:hAnsi="Narkisim" w:cs="Narkisim"/>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853</Words>
  <Characters>4267</Characters>
  <Application>Microsoft Office Word</Application>
  <DocSecurity>0</DocSecurity>
  <Lines>35</Lines>
  <Paragraphs>10</Paragraphs>
  <ScaleCrop>false</ScaleCrop>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רוט</dc:creator>
  <cp:keywords/>
  <dc:description/>
  <cp:lastModifiedBy>יצחק רוט</cp:lastModifiedBy>
  <cp:revision>1</cp:revision>
  <dcterms:created xsi:type="dcterms:W3CDTF">2022-08-03T12:40:00Z</dcterms:created>
  <dcterms:modified xsi:type="dcterms:W3CDTF">2022-08-03T12:43:00Z</dcterms:modified>
</cp:coreProperties>
</file>