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C439C" w14:textId="71CBB296" w:rsidR="00BD265D" w:rsidRPr="00BD265D" w:rsidRDefault="00BD265D" w:rsidP="00BD265D">
      <w:pPr>
        <w:spacing w:after="240"/>
        <w:jc w:val="center"/>
        <w:rPr>
          <w:rFonts w:cs="Guttman Drogolin"/>
          <w:b/>
          <w:bCs/>
          <w:sz w:val="24"/>
          <w:szCs w:val="24"/>
          <w:rtl/>
        </w:rPr>
      </w:pPr>
      <w:r w:rsidRPr="00BD265D">
        <w:rPr>
          <w:rFonts w:cs="Guttman Drogolin" w:hint="cs"/>
          <w:b/>
          <w:bCs/>
          <w:sz w:val="24"/>
          <w:szCs w:val="24"/>
          <w:rtl/>
        </w:rPr>
        <w:t xml:space="preserve">מאמר מהרב יוסף </w:t>
      </w:r>
      <w:proofErr w:type="spellStart"/>
      <w:r w:rsidRPr="00BD265D">
        <w:rPr>
          <w:rFonts w:cs="Guttman Drogolin" w:hint="cs"/>
          <w:b/>
          <w:bCs/>
          <w:sz w:val="24"/>
          <w:szCs w:val="24"/>
          <w:rtl/>
        </w:rPr>
        <w:t>קאפח</w:t>
      </w:r>
      <w:proofErr w:type="spellEnd"/>
      <w:r w:rsidRPr="00BD265D">
        <w:rPr>
          <w:rFonts w:cs="Guttman Drogolin" w:hint="cs"/>
          <w:b/>
          <w:bCs/>
          <w:sz w:val="24"/>
          <w:szCs w:val="24"/>
          <w:rtl/>
        </w:rPr>
        <w:t xml:space="preserve"> אודות חשיבות לימוד לשון הקודש כתיקונה</w:t>
      </w:r>
    </w:p>
    <w:p w14:paraId="4798673D" w14:textId="79A53983" w:rsidR="00BD265D" w:rsidRPr="00BD265D" w:rsidRDefault="00BD265D" w:rsidP="00BD265D">
      <w:pPr>
        <w:spacing w:after="240"/>
        <w:jc w:val="both"/>
        <w:rPr>
          <w:rFonts w:cs="Guttman Drogolin"/>
          <w:sz w:val="24"/>
          <w:szCs w:val="24"/>
          <w:rtl/>
        </w:rPr>
      </w:pPr>
      <w:r w:rsidRPr="00BD265D">
        <w:rPr>
          <w:rFonts w:cs="Guttman Drogolin"/>
          <w:sz w:val="24"/>
          <w:szCs w:val="24"/>
          <w:rtl/>
        </w:rPr>
        <w:t xml:space="preserve">על עצם הדבר שיש מצוה מן התורה ללמוד לשון הקדש כבר דברו רבים, ואין בכוונתי לסקור כאן כל שעסקו בענין זה. ומקור המצוה בספרי (דברים יא, </w:t>
      </w:r>
      <w:proofErr w:type="spellStart"/>
      <w:r w:rsidRPr="00BD265D">
        <w:rPr>
          <w:rFonts w:cs="Guttman Drogolin"/>
          <w:sz w:val="24"/>
          <w:szCs w:val="24"/>
          <w:rtl/>
        </w:rPr>
        <w:t>יט</w:t>
      </w:r>
      <w:proofErr w:type="spellEnd"/>
      <w:r w:rsidRPr="00BD265D">
        <w:rPr>
          <w:rFonts w:cs="Guttman Drogolin"/>
          <w:sz w:val="24"/>
          <w:szCs w:val="24"/>
          <w:rtl/>
        </w:rPr>
        <w:t xml:space="preserve">) "ולמדתם אותם את בניכם לדבר בם... מכאן אמרו כשתינוק מתחיל לדבר אביו מדבר עמו בלשון הקדש ומלמדו תורה". והובא גם ברש״י שם "משעה שהבן יודע לדבר למדהו תורה צוה לנו משה שיהא זה למוד דבורו, מכאן אמרו כשהתינוק מתחיל לדבר אביו מסיח עמו בלשון הקדש". ונראה שאין זו אסמכתא בלבד, אלא דרשה גמורה היא, ומצות למידת לשון הקדש מן התורה, שהרי השוו אותה לשאר מצוות דאוריתא, </w:t>
      </w:r>
      <w:proofErr w:type="spellStart"/>
      <w:r w:rsidRPr="00BD265D">
        <w:rPr>
          <w:rFonts w:cs="Guttman Drogolin"/>
          <w:sz w:val="24"/>
          <w:szCs w:val="24"/>
          <w:rtl/>
        </w:rPr>
        <w:t>כדאיתא</w:t>
      </w:r>
      <w:proofErr w:type="spellEnd"/>
      <w:r w:rsidRPr="00BD265D">
        <w:rPr>
          <w:rFonts w:cs="Guttman Drogolin"/>
          <w:sz w:val="24"/>
          <w:szCs w:val="24"/>
          <w:rtl/>
        </w:rPr>
        <w:t xml:space="preserve"> </w:t>
      </w:r>
      <w:proofErr w:type="spellStart"/>
      <w:r w:rsidRPr="00BD265D">
        <w:rPr>
          <w:rFonts w:cs="Guttman Drogolin"/>
          <w:sz w:val="24"/>
          <w:szCs w:val="24"/>
          <w:rtl/>
        </w:rPr>
        <w:t>בתוספתא</w:t>
      </w:r>
      <w:proofErr w:type="spellEnd"/>
      <w:r w:rsidRPr="00BD265D">
        <w:rPr>
          <w:rFonts w:cs="Guttman Drogolin"/>
          <w:sz w:val="24"/>
          <w:szCs w:val="24"/>
          <w:rtl/>
        </w:rPr>
        <w:t xml:space="preserve"> (חגיגה פ״א הל, א) "קטן היודע לנענע חייב בלולב, יודע להתעטף חייב בציצית, יודע לדבר אביו מלמדו שמע ותורה ולשון הקדש". וכיוצא בזה איתא גם בספרי זוטא (במדבר טו לח) "וכל שהוא יודע לדבר אביו מלמדו תורה וקריאת שמע ולשון הקדש". ממה שהשוו למידת לשון הקדש ללולב וציצית ושמע ותורה מוכח </w:t>
      </w:r>
      <w:proofErr w:type="spellStart"/>
      <w:r w:rsidRPr="00BD265D">
        <w:rPr>
          <w:rFonts w:cs="Guttman Drogolin"/>
          <w:sz w:val="24"/>
          <w:szCs w:val="24"/>
          <w:rtl/>
        </w:rPr>
        <w:t>דמשמע</w:t>
      </w:r>
      <w:proofErr w:type="spellEnd"/>
      <w:r w:rsidRPr="00BD265D">
        <w:rPr>
          <w:rFonts w:cs="Guttman Drogolin"/>
          <w:sz w:val="24"/>
          <w:szCs w:val="24"/>
          <w:rtl/>
        </w:rPr>
        <w:t xml:space="preserve"> להו שכולן דאוריתא. וכן כתב הרמב״ם בפירושו למשנה (אבות פ״ב מ״א) "שראוי להזהר במצוה </w:t>
      </w:r>
      <w:proofErr w:type="spellStart"/>
      <w:r w:rsidRPr="00BD265D">
        <w:rPr>
          <w:rFonts w:cs="Guttman Drogolin"/>
          <w:sz w:val="24"/>
          <w:szCs w:val="24"/>
          <w:rtl/>
        </w:rPr>
        <w:t>שחושבין</w:t>
      </w:r>
      <w:proofErr w:type="spellEnd"/>
      <w:r w:rsidRPr="00BD265D">
        <w:rPr>
          <w:rFonts w:cs="Guttman Drogolin"/>
          <w:sz w:val="24"/>
          <w:szCs w:val="24"/>
          <w:rtl/>
        </w:rPr>
        <w:t xml:space="preserve"> בה שהיא קלה כגון שמחת הרגל ולמידת לשון הקודש ובמצוה שנתבארה חומרתה כגון המילה והציצית ושחיטת הפסח".</w:t>
      </w:r>
    </w:p>
    <w:p w14:paraId="3CBD6195" w14:textId="77777777" w:rsidR="00BD265D" w:rsidRPr="00BD265D" w:rsidRDefault="00BD265D" w:rsidP="00BD265D">
      <w:pPr>
        <w:spacing w:after="240"/>
        <w:jc w:val="both"/>
        <w:rPr>
          <w:rFonts w:cs="Guttman Drogolin"/>
          <w:sz w:val="24"/>
          <w:szCs w:val="24"/>
          <w:rtl/>
        </w:rPr>
      </w:pPr>
      <w:r w:rsidRPr="00BD265D">
        <w:rPr>
          <w:rFonts w:cs="Guttman Drogolin"/>
          <w:sz w:val="24"/>
          <w:szCs w:val="24"/>
          <w:rtl/>
        </w:rPr>
        <w:t>אך בספר המצות לא מנאה מכלל תרי״ג מצותיה של תורה, גם בחבורו משנה תורה לא הזכיר כלל מצות למידת לשון הקודש.</w:t>
      </w:r>
    </w:p>
    <w:p w14:paraId="4855637A" w14:textId="77777777" w:rsidR="00BD265D" w:rsidRPr="00BD265D" w:rsidRDefault="00BD265D" w:rsidP="00BD265D">
      <w:pPr>
        <w:spacing w:after="240"/>
        <w:jc w:val="both"/>
        <w:rPr>
          <w:rFonts w:cs="Guttman Drogolin"/>
          <w:sz w:val="24"/>
          <w:szCs w:val="24"/>
          <w:rtl/>
        </w:rPr>
      </w:pPr>
      <w:r w:rsidRPr="00BD265D">
        <w:rPr>
          <w:rFonts w:cs="Guttman Drogolin"/>
          <w:sz w:val="24"/>
          <w:szCs w:val="24"/>
          <w:rtl/>
        </w:rPr>
        <w:t xml:space="preserve">ונראה שהרמב״ם בחבורו חזר לסבור שהיא אמנם מצוה מן התורה, אלא שהיא חלק מחלקי מצוה כללית והיא למוד התורה, וכבר לימד אותנו רבנו שמצוה שיש בה חלקים רבים אין למנות כל חלק ממנה מצוה בפני עצמו, אף על פי שנאמר בתורה צווי מיוחד לכל חלק בפני עצמו, כדרך שמנה בנין המקדש בכללותו מצות עשה אחת מכלל תרי״ג מצות, ולא מגה עוד בנין המזבח מצוה בפני עצמה, ולא עשיית דביר מצוה בפני עצמה. וכמו שכתב בהקדמתו לספר המצוות כלל </w:t>
      </w:r>
      <w:proofErr w:type="spellStart"/>
      <w:r w:rsidRPr="00BD265D">
        <w:rPr>
          <w:rFonts w:cs="Guttman Drogolin"/>
          <w:sz w:val="24"/>
          <w:szCs w:val="24"/>
          <w:rtl/>
        </w:rPr>
        <w:t>יב</w:t>
      </w:r>
      <w:proofErr w:type="spellEnd"/>
      <w:r w:rsidRPr="00BD265D">
        <w:rPr>
          <w:rFonts w:cs="Guttman Drogolin"/>
          <w:sz w:val="24"/>
          <w:szCs w:val="24"/>
          <w:rtl/>
        </w:rPr>
        <w:t>.</w:t>
      </w:r>
    </w:p>
    <w:p w14:paraId="455F01FC" w14:textId="5CFEA17C" w:rsidR="00BD265D" w:rsidRPr="00BD265D" w:rsidRDefault="00BD265D" w:rsidP="00BD265D">
      <w:pPr>
        <w:pStyle w:val="a6"/>
        <w:spacing w:after="240" w:line="348" w:lineRule="exact"/>
        <w:ind w:firstLine="0"/>
        <w:jc w:val="both"/>
        <w:rPr>
          <w:rFonts w:cs="Guttman Drogolin"/>
          <w:sz w:val="24"/>
          <w:szCs w:val="24"/>
        </w:rPr>
      </w:pPr>
      <w:r w:rsidRPr="00BD265D">
        <w:rPr>
          <w:rFonts w:cs="Guttman Drogolin"/>
          <w:sz w:val="24"/>
          <w:szCs w:val="24"/>
          <w:rtl/>
        </w:rPr>
        <w:t xml:space="preserve">ונראה כי זו שיטת הירושלמי החולק על הספרי </w:t>
      </w:r>
      <w:proofErr w:type="spellStart"/>
      <w:r w:rsidRPr="00BD265D">
        <w:rPr>
          <w:rFonts w:cs="Guttman Drogolin"/>
          <w:sz w:val="24"/>
          <w:szCs w:val="24"/>
          <w:rtl/>
        </w:rPr>
        <w:t>והתוספתא</w:t>
      </w:r>
      <w:proofErr w:type="spellEnd"/>
      <w:r w:rsidRPr="00BD265D">
        <w:rPr>
          <w:rFonts w:cs="Guttman Drogolin"/>
          <w:sz w:val="24"/>
          <w:szCs w:val="24"/>
          <w:rtl/>
        </w:rPr>
        <w:t xml:space="preserve"> הנ״ל, וסובר שאין למידת לשון הקודש מצוה בפני עצמה אלא היא חלק ממצות למוד התורה, וז״ל (סוכה פ״ג </w:t>
      </w:r>
      <w:proofErr w:type="spellStart"/>
      <w:r w:rsidRPr="00BD265D">
        <w:rPr>
          <w:rFonts w:cs="Guttman Drogolin"/>
          <w:sz w:val="24"/>
          <w:szCs w:val="24"/>
          <w:rtl/>
        </w:rPr>
        <w:t>הי"ב</w:t>
      </w:r>
      <w:proofErr w:type="spellEnd"/>
      <w:r w:rsidRPr="00BD265D">
        <w:rPr>
          <w:rFonts w:cs="Guttman Drogolin"/>
          <w:sz w:val="24"/>
          <w:szCs w:val="24"/>
          <w:rtl/>
        </w:rPr>
        <w:t xml:space="preserve">) "יודע לנענע חייב בלולב, יודע להתעטף חייב בציצית, יודע לדבר אביו מלמדו לשון תורה". ממת שהטפיל מצות למידת הלשון לתורה משמע </w:t>
      </w:r>
      <w:proofErr w:type="spellStart"/>
      <w:r w:rsidRPr="00BD265D">
        <w:rPr>
          <w:rFonts w:cs="Guttman Drogolin"/>
          <w:sz w:val="24"/>
          <w:szCs w:val="24"/>
          <w:rtl/>
        </w:rPr>
        <w:t>דרוצה</w:t>
      </w:r>
      <w:proofErr w:type="spellEnd"/>
      <w:r w:rsidRPr="00BD265D">
        <w:rPr>
          <w:rFonts w:cs="Guttman Drogolin"/>
          <w:sz w:val="24"/>
          <w:szCs w:val="24"/>
          <w:rtl/>
        </w:rPr>
        <w:t xml:space="preserve"> לומר שהיא חלק ממנה. כי אותו הפסוק שלמדו ממנו בספרי לחיוב למידת לשון הקדש, ממנו הוא עצמו החיוב ללמידת התורה, </w:t>
      </w:r>
      <w:proofErr w:type="spellStart"/>
      <w:r w:rsidRPr="00BD265D">
        <w:rPr>
          <w:rFonts w:cs="Guttman Drogolin"/>
          <w:sz w:val="24"/>
          <w:szCs w:val="24"/>
          <w:rtl/>
        </w:rPr>
        <w:t>כדגרסינן</w:t>
      </w:r>
      <w:proofErr w:type="spellEnd"/>
      <w:r w:rsidRPr="00BD265D">
        <w:rPr>
          <w:rFonts w:cs="Guttman Drogolin"/>
          <w:sz w:val="24"/>
          <w:szCs w:val="24"/>
          <w:rtl/>
        </w:rPr>
        <w:t xml:space="preserve"> "ללמדו תורה </w:t>
      </w:r>
      <w:proofErr w:type="spellStart"/>
      <w:r w:rsidRPr="00BD265D">
        <w:rPr>
          <w:rFonts w:cs="Guttman Drogolin"/>
          <w:sz w:val="24"/>
          <w:szCs w:val="24"/>
          <w:rtl/>
        </w:rPr>
        <w:t>מנלן</w:t>
      </w:r>
      <w:proofErr w:type="spellEnd"/>
      <w:r w:rsidRPr="00BD265D">
        <w:rPr>
          <w:rFonts w:cs="Guttman Drogolin"/>
          <w:sz w:val="24"/>
          <w:szCs w:val="24"/>
          <w:rtl/>
        </w:rPr>
        <w:t xml:space="preserve">, </w:t>
      </w:r>
      <w:proofErr w:type="spellStart"/>
      <w:r w:rsidRPr="00BD265D">
        <w:rPr>
          <w:rFonts w:cs="Guttman Drogolin"/>
          <w:sz w:val="24"/>
          <w:szCs w:val="24"/>
          <w:rtl/>
        </w:rPr>
        <w:t>דכתיב</w:t>
      </w:r>
      <w:proofErr w:type="spellEnd"/>
      <w:r w:rsidRPr="00BD265D">
        <w:rPr>
          <w:rFonts w:cs="Guttman Drogolin"/>
          <w:sz w:val="24"/>
          <w:szCs w:val="24"/>
          <w:rtl/>
        </w:rPr>
        <w:t xml:space="preserve"> ולמדתם אותם את בניכם" (קדושין לט ב). ואף על פי שכאן לא הובא המשך הכתוב "לדבר בם" והיה אפשר לומר כי חיוב למוד התורה מן "ולמדתם אותם את בניכם", וחיוב למידת לשון הקודש מן "לדבר בם", אך כיון שלא נאמר בו לשון צווי "ודברת בם" אלא "לדבר בם" משמע </w:t>
      </w:r>
      <w:proofErr w:type="spellStart"/>
      <w:r w:rsidRPr="00BD265D">
        <w:rPr>
          <w:rFonts w:cs="Guttman Drogolin"/>
          <w:sz w:val="24"/>
          <w:szCs w:val="24"/>
          <w:rtl/>
        </w:rPr>
        <w:t>להירושלמי</w:t>
      </w:r>
      <w:proofErr w:type="spellEnd"/>
      <w:r w:rsidRPr="00BD265D">
        <w:rPr>
          <w:rFonts w:cs="Guttman Drogolin"/>
          <w:sz w:val="24"/>
          <w:szCs w:val="24"/>
          <w:rtl/>
        </w:rPr>
        <w:t xml:space="preserve"> שהוא טפל ללמוד התורה. וכך לשון הרמב״ם בחבורו (הל</w:t>
      </w:r>
      <w:r w:rsidRPr="00BD265D">
        <w:rPr>
          <w:rFonts w:cs="Guttman Drogolin" w:hint="cs"/>
          <w:sz w:val="24"/>
          <w:szCs w:val="24"/>
          <w:rtl/>
        </w:rPr>
        <w:t>'</w:t>
      </w:r>
      <w:r w:rsidRPr="00BD265D">
        <w:rPr>
          <w:rFonts w:cs="Guttman Drogolin"/>
          <w:sz w:val="24"/>
          <w:szCs w:val="24"/>
          <w:rtl/>
        </w:rPr>
        <w:t xml:space="preserve"> תלמוד תורה פ״א הל׳</w:t>
      </w:r>
      <w:r w:rsidRPr="00BD265D">
        <w:rPr>
          <w:rFonts w:cs="Guttman Drogolin"/>
          <w:sz w:val="24"/>
          <w:szCs w:val="24"/>
          <w:rtl/>
        </w:rPr>
        <w:t xml:space="preserve"> </w:t>
      </w:r>
      <w:r w:rsidRPr="00BD265D">
        <w:rPr>
          <w:rFonts w:cs="Guttman Drogolin"/>
          <w:sz w:val="24"/>
          <w:szCs w:val="24"/>
          <w:rtl/>
        </w:rPr>
        <w:t>א) "קטן אביו חייב ללמדו תורה שנ׳ ולמדתם</w:t>
      </w:r>
      <w:r w:rsidRPr="00BD265D">
        <w:rPr>
          <w:rFonts w:cs="Guttman Drogolin"/>
          <w:color w:val="000000"/>
          <w:sz w:val="24"/>
          <w:szCs w:val="24"/>
          <w:rtl/>
          <w:lang w:val="he-IL" w:eastAsia="he-IL"/>
        </w:rPr>
        <w:t xml:space="preserve"> </w:t>
      </w:r>
      <w:r w:rsidRPr="00BD265D">
        <w:rPr>
          <w:rFonts w:cs="Guttman Drogolin"/>
          <w:color w:val="000000"/>
          <w:sz w:val="24"/>
          <w:szCs w:val="24"/>
          <w:rtl/>
          <w:lang w:val="he-IL" w:eastAsia="he-IL"/>
        </w:rPr>
        <w:t xml:space="preserve">אותם את בניכם לדבר בם". והאמור במשנת תורת (דברים ה ז) "ודברת בם" שהוא לשון צווי, הרי הוציא אותו הירושלמי (ברכות פ״ב הל׳ א) לדרשה אחרת "ודברת בם, מכאן שיש לך רשות לדבר בם". כלומר שמותר להפסיק בק״ש לשאול שלום ולהשיב </w:t>
      </w:r>
      <w:proofErr w:type="spellStart"/>
      <w:r w:rsidRPr="00BD265D">
        <w:rPr>
          <w:rFonts w:cs="Guttman Drogolin"/>
          <w:color w:val="000000"/>
          <w:sz w:val="24"/>
          <w:szCs w:val="24"/>
          <w:rtl/>
          <w:lang w:val="he-IL" w:eastAsia="he-IL"/>
        </w:rPr>
        <w:t>כדאיתא</w:t>
      </w:r>
      <w:proofErr w:type="spellEnd"/>
      <w:r w:rsidRPr="00BD265D">
        <w:rPr>
          <w:rFonts w:cs="Guttman Drogolin"/>
          <w:color w:val="000000"/>
          <w:sz w:val="24"/>
          <w:szCs w:val="24"/>
          <w:rtl/>
          <w:lang w:val="he-IL" w:eastAsia="he-IL"/>
        </w:rPr>
        <w:t xml:space="preserve"> במשנה שם, אבל לא בתפלה.</w:t>
      </w:r>
    </w:p>
    <w:p w14:paraId="68DBEC39" w14:textId="77777777" w:rsidR="00BD265D" w:rsidRPr="00BD265D" w:rsidRDefault="00BD265D" w:rsidP="00BD265D">
      <w:pPr>
        <w:pStyle w:val="a6"/>
        <w:spacing w:after="240" w:line="343" w:lineRule="exact"/>
        <w:ind w:firstLine="0"/>
        <w:jc w:val="both"/>
        <w:rPr>
          <w:rFonts w:cs="Guttman Drogolin"/>
          <w:sz w:val="24"/>
          <w:szCs w:val="24"/>
        </w:rPr>
      </w:pPr>
      <w:r w:rsidRPr="00BD265D">
        <w:rPr>
          <w:rFonts w:cs="Guttman Drogolin"/>
          <w:color w:val="000000"/>
          <w:sz w:val="24"/>
          <w:szCs w:val="24"/>
          <w:rtl/>
          <w:lang w:val="he-IL" w:eastAsia="he-IL"/>
        </w:rPr>
        <w:t xml:space="preserve">אם כן לשטת הספרי </w:t>
      </w:r>
      <w:proofErr w:type="spellStart"/>
      <w:r w:rsidRPr="00BD265D">
        <w:rPr>
          <w:rFonts w:cs="Guttman Drogolin"/>
          <w:color w:val="000000"/>
          <w:sz w:val="24"/>
          <w:szCs w:val="24"/>
          <w:rtl/>
          <w:lang w:val="he-IL" w:eastAsia="he-IL"/>
        </w:rPr>
        <w:t>והתוספתא</w:t>
      </w:r>
      <w:proofErr w:type="spellEnd"/>
      <w:r w:rsidRPr="00BD265D">
        <w:rPr>
          <w:rFonts w:cs="Guttman Drogolin"/>
          <w:color w:val="000000"/>
          <w:sz w:val="24"/>
          <w:szCs w:val="24"/>
          <w:rtl/>
          <w:lang w:val="he-IL" w:eastAsia="he-IL"/>
        </w:rPr>
        <w:t xml:space="preserve"> והרמב״ם בפירוש המשנה כל שלא למד לשון הקדש, או </w:t>
      </w:r>
      <w:r w:rsidRPr="00BD265D">
        <w:rPr>
          <w:rFonts w:cs="Guttman Drogolin"/>
          <w:color w:val="000000"/>
          <w:sz w:val="24"/>
          <w:szCs w:val="24"/>
          <w:rtl/>
          <w:lang w:val="he-IL" w:eastAsia="he-IL"/>
        </w:rPr>
        <w:lastRenderedPageBreak/>
        <w:t>שאינו מדבר בו ביטל מצות עשה. ולשיטת הירושלמי והרמב״ם בחבורו אין כאן עשה מיוחד אלא מצות למידת לשון הקדש חלק ממצות למוד התורה.</w:t>
      </w:r>
    </w:p>
    <w:p w14:paraId="58023214" w14:textId="77777777" w:rsidR="00BD265D" w:rsidRPr="00BD265D" w:rsidRDefault="00BD265D" w:rsidP="00BD265D">
      <w:pPr>
        <w:pStyle w:val="a6"/>
        <w:spacing w:after="240" w:line="343" w:lineRule="exact"/>
        <w:ind w:firstLine="0"/>
        <w:jc w:val="both"/>
        <w:rPr>
          <w:rFonts w:cs="Guttman Drogolin"/>
          <w:sz w:val="24"/>
          <w:szCs w:val="24"/>
        </w:rPr>
      </w:pPr>
      <w:r w:rsidRPr="00BD265D">
        <w:rPr>
          <w:rFonts w:cs="Guttman Drogolin"/>
          <w:color w:val="000000"/>
          <w:sz w:val="24"/>
          <w:szCs w:val="24"/>
          <w:rtl/>
          <w:lang w:val="he-IL" w:eastAsia="he-IL"/>
        </w:rPr>
        <w:t>נשאר לנו לברר האם מי שמדבר בלשון הקדש שלא בדקדוק אלא בשבושים עובר בלא תעשה? כי לכאורה אין יסוד לומר שיש בזה לאו, לא מדברי תורה ולא מדברי סופרים. ברם כבר האיר עינינו ראש המדברים בכל מקום הוא הגאון רבנו סעדיה זצ״ל, ודעתו אף שאמנם אין בדבר זה עברה על לא תעשה של תורה, הרי בכל אופן עובר על לא תעשה שמדברי קבלה. שבפירושו לויקרא (י א) האריך הרחיב להזהיר על חובת למידת לשון הקדש בדיוק ובדקדוק, כי אי הבנה מושלמת עלולה להיות הרת סכנות כפי שאירע לנדב ואביהוא בני אהרן, אשר שגיאתם בהבנת מלה אחת בדברי משה רבנו גרמה להם מיתה. ובתוך דבריו הוא כותב "כי הראשונים לא הרשו לעצמם להזניח ידיעת לשון הקדש, והיו רואים בכך עברה, כמאמר נחמיה (</w:t>
      </w:r>
      <w:proofErr w:type="spellStart"/>
      <w:r w:rsidRPr="00BD265D">
        <w:rPr>
          <w:rFonts w:cs="Guttman Drogolin"/>
          <w:color w:val="000000"/>
          <w:sz w:val="24"/>
          <w:szCs w:val="24"/>
          <w:rtl/>
          <w:lang w:val="he-IL" w:eastAsia="he-IL"/>
        </w:rPr>
        <w:t>יג</w:t>
      </w:r>
      <w:proofErr w:type="spellEnd"/>
      <w:r w:rsidRPr="00BD265D">
        <w:rPr>
          <w:rFonts w:cs="Guttman Drogolin"/>
          <w:color w:val="000000"/>
          <w:sz w:val="24"/>
          <w:szCs w:val="24"/>
          <w:rtl/>
          <w:lang w:val="he-IL" w:eastAsia="he-IL"/>
        </w:rPr>
        <w:t xml:space="preserve"> כד) ובניהם חצי מדבר אשדודית ואינם מכירים לדבר יהודית. וירב עמם ויקללם ויכם שנאמר ואריב עמם ואקללם ואכה מהם אנשים ואמרטם" (שם </w:t>
      </w:r>
      <w:proofErr w:type="spellStart"/>
      <w:r w:rsidRPr="00BD265D">
        <w:rPr>
          <w:rFonts w:cs="Guttman Drogolin"/>
          <w:color w:val="000000"/>
          <w:sz w:val="24"/>
          <w:szCs w:val="24"/>
          <w:rtl/>
          <w:lang w:val="he-IL" w:eastAsia="he-IL"/>
        </w:rPr>
        <w:t>יג</w:t>
      </w:r>
      <w:proofErr w:type="spellEnd"/>
      <w:r w:rsidRPr="00BD265D">
        <w:rPr>
          <w:rFonts w:cs="Guttman Drogolin"/>
          <w:color w:val="000000"/>
          <w:sz w:val="24"/>
          <w:szCs w:val="24"/>
          <w:rtl/>
          <w:lang w:val="he-IL" w:eastAsia="he-IL"/>
        </w:rPr>
        <w:t xml:space="preserve"> כה). הרי ברור כי רס״ג מפרש דברי נחמיה על הזנחת ידיעת לשון הקדש. ולכאורה היה נראה שכל קצפו של נחמיה הוא על נשיאת נשים נכריות </w:t>
      </w:r>
      <w:proofErr w:type="spellStart"/>
      <w:r w:rsidRPr="00BD265D">
        <w:rPr>
          <w:rFonts w:cs="Guttman Drogolin"/>
          <w:color w:val="000000"/>
          <w:sz w:val="24"/>
          <w:szCs w:val="24"/>
          <w:rtl/>
          <w:lang w:val="he-IL" w:eastAsia="he-IL"/>
        </w:rPr>
        <w:t>בגיותן</w:t>
      </w:r>
      <w:proofErr w:type="spellEnd"/>
      <w:r w:rsidRPr="00BD265D">
        <w:rPr>
          <w:rFonts w:cs="Guttman Drogolin"/>
          <w:color w:val="000000"/>
          <w:sz w:val="24"/>
          <w:szCs w:val="24"/>
          <w:rtl/>
          <w:lang w:val="he-IL" w:eastAsia="he-IL"/>
        </w:rPr>
        <w:t xml:space="preserve">, שכך משמע פשטי הכתובים, וכך הבינו כל המפרשים. ברם כי דייקת בה שפיר תמצא שצדק רס״ג שאין פרשה זו מדברת כלל בנשיאת נשים נכריות </w:t>
      </w:r>
      <w:proofErr w:type="spellStart"/>
      <w:r w:rsidRPr="00BD265D">
        <w:rPr>
          <w:rFonts w:cs="Guttman Drogolin"/>
          <w:color w:val="000000"/>
          <w:sz w:val="24"/>
          <w:szCs w:val="24"/>
          <w:rtl/>
          <w:lang w:val="he-IL" w:eastAsia="he-IL"/>
        </w:rPr>
        <w:t>בגיותן</w:t>
      </w:r>
      <w:proofErr w:type="spellEnd"/>
      <w:r w:rsidRPr="00BD265D">
        <w:rPr>
          <w:rFonts w:cs="Guttman Drogolin"/>
          <w:color w:val="000000"/>
          <w:sz w:val="24"/>
          <w:szCs w:val="24"/>
          <w:rtl/>
          <w:lang w:val="he-IL" w:eastAsia="he-IL"/>
        </w:rPr>
        <w:t xml:space="preserve">, כי לא יתכן שיניח נחמיה טעם האסור החמור המפורש בתורה שהוא "ולא תתחתן בם" (דברים ז ג) ויפנה לטעם צדדי שהוא שבוש לשון הקדש, לפיכך ברור כי הנשים הללו האמורות בפרשה זו "גם בימים ההמה ראיתי את היהודים הושיבו נשים </w:t>
      </w:r>
      <w:proofErr w:type="spellStart"/>
      <w:r w:rsidRPr="00BD265D">
        <w:rPr>
          <w:rFonts w:cs="Guttman Drogolin"/>
          <w:color w:val="000000"/>
          <w:sz w:val="24"/>
          <w:szCs w:val="24"/>
          <w:rtl/>
          <w:lang w:val="he-IL" w:eastAsia="he-IL"/>
        </w:rPr>
        <w:t>אשדדיות</w:t>
      </w:r>
      <w:proofErr w:type="spellEnd"/>
      <w:r w:rsidRPr="00BD265D">
        <w:rPr>
          <w:rFonts w:cs="Guttman Drogolin"/>
          <w:color w:val="000000"/>
          <w:sz w:val="24"/>
          <w:szCs w:val="24"/>
          <w:rtl/>
          <w:lang w:val="he-IL" w:eastAsia="he-IL"/>
        </w:rPr>
        <w:t xml:space="preserve"> עמוניות מואביות" (נחמיה </w:t>
      </w:r>
      <w:proofErr w:type="spellStart"/>
      <w:r w:rsidRPr="00BD265D">
        <w:rPr>
          <w:rFonts w:cs="Guttman Drogolin"/>
          <w:color w:val="000000"/>
          <w:sz w:val="24"/>
          <w:szCs w:val="24"/>
          <w:rtl/>
          <w:lang w:val="he-IL" w:eastAsia="he-IL"/>
        </w:rPr>
        <w:t>יג</w:t>
      </w:r>
      <w:proofErr w:type="spellEnd"/>
      <w:r w:rsidRPr="00BD265D">
        <w:rPr>
          <w:rFonts w:cs="Guttman Drogolin"/>
          <w:color w:val="000000"/>
          <w:sz w:val="24"/>
          <w:szCs w:val="24"/>
          <w:rtl/>
          <w:lang w:val="he-IL" w:eastAsia="he-IL"/>
        </w:rPr>
        <w:t xml:space="preserve"> </w:t>
      </w:r>
      <w:proofErr w:type="spellStart"/>
      <w:r w:rsidRPr="00BD265D">
        <w:rPr>
          <w:rFonts w:cs="Guttman Drogolin"/>
          <w:color w:val="000000"/>
          <w:sz w:val="24"/>
          <w:szCs w:val="24"/>
          <w:rtl/>
          <w:lang w:val="he-IL" w:eastAsia="he-IL"/>
        </w:rPr>
        <w:t>כג</w:t>
      </w:r>
      <w:proofErr w:type="spellEnd"/>
      <w:r w:rsidRPr="00BD265D">
        <w:rPr>
          <w:rFonts w:cs="Guttman Drogolin"/>
          <w:color w:val="000000"/>
          <w:sz w:val="24"/>
          <w:szCs w:val="24"/>
          <w:rtl/>
          <w:lang w:val="he-IL" w:eastAsia="he-IL"/>
        </w:rPr>
        <w:t xml:space="preserve">) גיורות הן, ואין בהם שום אסור של "ולא תתחתן בם". אין צורך לומר, לשיטת התנאים הסוברים שפסוק זה מדבר בכל הגוים </w:t>
      </w:r>
      <w:proofErr w:type="spellStart"/>
      <w:r w:rsidRPr="00BD265D">
        <w:rPr>
          <w:rFonts w:cs="Guttman Drogolin"/>
          <w:color w:val="000000"/>
          <w:sz w:val="24"/>
          <w:szCs w:val="24"/>
          <w:rtl/>
          <w:lang w:val="he-IL" w:eastAsia="he-IL"/>
        </w:rPr>
        <w:t>בגיותם</w:t>
      </w:r>
      <w:proofErr w:type="spellEnd"/>
      <w:r w:rsidRPr="00BD265D">
        <w:rPr>
          <w:rFonts w:cs="Guttman Drogolin"/>
          <w:color w:val="000000"/>
          <w:sz w:val="24"/>
          <w:szCs w:val="24"/>
          <w:rtl/>
          <w:lang w:val="he-IL" w:eastAsia="he-IL"/>
        </w:rPr>
        <w:t xml:space="preserve"> שנשים הללו כבר </w:t>
      </w:r>
      <w:proofErr w:type="spellStart"/>
      <w:r w:rsidRPr="00BD265D">
        <w:rPr>
          <w:rFonts w:cs="Guttman Drogolin"/>
          <w:color w:val="000000"/>
          <w:sz w:val="24"/>
          <w:szCs w:val="24"/>
          <w:rtl/>
          <w:lang w:val="he-IL" w:eastAsia="he-IL"/>
        </w:rPr>
        <w:t>נתגיירו</w:t>
      </w:r>
      <w:proofErr w:type="spellEnd"/>
      <w:r w:rsidRPr="00BD265D">
        <w:rPr>
          <w:rFonts w:cs="Guttman Drogolin"/>
          <w:color w:val="000000"/>
          <w:sz w:val="24"/>
          <w:szCs w:val="24"/>
          <w:rtl/>
          <w:lang w:val="he-IL" w:eastAsia="he-IL"/>
        </w:rPr>
        <w:t xml:space="preserve"> ומותרות הן, אלא אף למי שסובר שפסוק זה "ולא תתחתן בם" מדבר בשבעה עממין ולאחר </w:t>
      </w:r>
      <w:proofErr w:type="spellStart"/>
      <w:r w:rsidRPr="00BD265D">
        <w:rPr>
          <w:rFonts w:cs="Guttman Drogolin"/>
          <w:color w:val="000000"/>
          <w:sz w:val="24"/>
          <w:szCs w:val="24"/>
          <w:rtl/>
          <w:lang w:val="he-IL" w:eastAsia="he-IL"/>
        </w:rPr>
        <w:t>גרותם</w:t>
      </w:r>
      <w:proofErr w:type="spellEnd"/>
      <w:r w:rsidRPr="00BD265D">
        <w:rPr>
          <w:rFonts w:cs="Guttman Drogolin"/>
          <w:color w:val="000000"/>
          <w:sz w:val="24"/>
          <w:szCs w:val="24"/>
          <w:rtl/>
          <w:lang w:val="he-IL" w:eastAsia="he-IL"/>
        </w:rPr>
        <w:t>, הרי מפורש בנשים הללו שאינן משבעה עממין, ולפיכך לא יפלא שנחמיה לא הזכיר בקפידתו אסור החתון כלל, וכל קצפו היה רק על שבוש הלשון ואי ידיעתו על בריו.'</w:t>
      </w:r>
    </w:p>
    <w:p w14:paraId="01AA8AC4" w14:textId="195DECE1" w:rsidR="00BD265D" w:rsidRPr="00BD265D" w:rsidRDefault="00BD265D" w:rsidP="00BD265D">
      <w:pPr>
        <w:pStyle w:val="a6"/>
        <w:spacing w:after="240" w:line="343" w:lineRule="exact"/>
        <w:ind w:firstLine="0"/>
        <w:jc w:val="both"/>
        <w:rPr>
          <w:rFonts w:cs="Guttman Drogolin"/>
          <w:sz w:val="24"/>
          <w:szCs w:val="24"/>
          <w:rtl/>
        </w:rPr>
      </w:pPr>
      <w:r w:rsidRPr="00BD265D">
        <w:rPr>
          <w:rFonts w:cs="Guttman Drogolin"/>
          <w:color w:val="000000"/>
          <w:sz w:val="24"/>
          <w:szCs w:val="24"/>
          <w:rtl/>
          <w:lang w:val="he-IL" w:eastAsia="he-IL"/>
        </w:rPr>
        <w:t xml:space="preserve">וראיה להבנתו של רס״ג הוא המשך הפרשה "הלוא על אלה חטא שלמה מלך ישראל" (נחמיה </w:t>
      </w:r>
      <w:proofErr w:type="spellStart"/>
      <w:r w:rsidRPr="00BD265D">
        <w:rPr>
          <w:rFonts w:cs="Guttman Drogolin"/>
          <w:color w:val="000000"/>
          <w:sz w:val="24"/>
          <w:szCs w:val="24"/>
          <w:rtl/>
          <w:lang w:val="he-IL" w:eastAsia="he-IL"/>
        </w:rPr>
        <w:t>יג</w:t>
      </w:r>
      <w:proofErr w:type="spellEnd"/>
      <w:r w:rsidRPr="00BD265D">
        <w:rPr>
          <w:rFonts w:cs="Guttman Drogolin"/>
          <w:color w:val="000000"/>
          <w:sz w:val="24"/>
          <w:szCs w:val="24"/>
          <w:rtl/>
          <w:lang w:val="he-IL" w:eastAsia="he-IL"/>
        </w:rPr>
        <w:t xml:space="preserve"> </w:t>
      </w:r>
      <w:proofErr w:type="spellStart"/>
      <w:r w:rsidRPr="00BD265D">
        <w:rPr>
          <w:rFonts w:cs="Guttman Drogolin"/>
          <w:color w:val="000000"/>
          <w:sz w:val="24"/>
          <w:szCs w:val="24"/>
          <w:rtl/>
          <w:lang w:val="he-IL" w:eastAsia="he-IL"/>
        </w:rPr>
        <w:t>כו</w:t>
      </w:r>
      <w:proofErr w:type="spellEnd"/>
      <w:r w:rsidRPr="00BD265D">
        <w:rPr>
          <w:rFonts w:cs="Guttman Drogolin"/>
          <w:color w:val="000000"/>
          <w:sz w:val="24"/>
          <w:szCs w:val="24"/>
          <w:rtl/>
          <w:lang w:val="he-IL" w:eastAsia="he-IL"/>
        </w:rPr>
        <w:t xml:space="preserve">), והרי מקובל במסורת ישראל כי שלמה לא נשא נשים נכריות </w:t>
      </w:r>
      <w:proofErr w:type="spellStart"/>
      <w:r w:rsidRPr="00BD265D">
        <w:rPr>
          <w:rFonts w:cs="Guttman Drogolin"/>
          <w:color w:val="000000"/>
          <w:sz w:val="24"/>
          <w:szCs w:val="24"/>
          <w:rtl/>
          <w:lang w:val="he-IL" w:eastAsia="he-IL"/>
        </w:rPr>
        <w:t>בגיותן</w:t>
      </w:r>
      <w:proofErr w:type="spellEnd"/>
      <w:r w:rsidRPr="00BD265D">
        <w:rPr>
          <w:rFonts w:cs="Guttman Drogolin"/>
          <w:color w:val="000000"/>
          <w:sz w:val="24"/>
          <w:szCs w:val="24"/>
          <w:rtl/>
          <w:lang w:val="he-IL" w:eastAsia="he-IL"/>
        </w:rPr>
        <w:t xml:space="preserve"> אלא בגרותן, כמו שכתב הרמב״ם בהלכות אסורי ביאה (</w:t>
      </w:r>
      <w:proofErr w:type="spellStart"/>
      <w:r w:rsidRPr="00BD265D">
        <w:rPr>
          <w:rFonts w:cs="Guttman Drogolin"/>
          <w:color w:val="000000"/>
          <w:sz w:val="24"/>
          <w:szCs w:val="24"/>
          <w:rtl/>
          <w:lang w:val="he-IL" w:eastAsia="he-IL"/>
        </w:rPr>
        <w:t>פי״ג</w:t>
      </w:r>
      <w:proofErr w:type="spellEnd"/>
      <w:r w:rsidRPr="00BD265D">
        <w:rPr>
          <w:rFonts w:cs="Guttman Drogolin"/>
          <w:color w:val="000000"/>
          <w:sz w:val="24"/>
          <w:szCs w:val="24"/>
          <w:rtl/>
          <w:lang w:val="he-IL" w:eastAsia="he-IL"/>
        </w:rPr>
        <w:t xml:space="preserve"> הל׳ יד) "אל יעלה על דעתך ששמשון המושיע את ישראל או שלמה מלך ישראל שנקרא ידיד ה׳ נשאו נשים נכריות </w:t>
      </w:r>
      <w:proofErr w:type="spellStart"/>
      <w:r w:rsidRPr="00BD265D">
        <w:rPr>
          <w:rFonts w:cs="Guttman Drogolin"/>
          <w:color w:val="000000"/>
          <w:sz w:val="24"/>
          <w:szCs w:val="24"/>
          <w:rtl/>
          <w:lang w:val="he-IL" w:eastAsia="he-IL"/>
        </w:rPr>
        <w:t>בגיותן</w:t>
      </w:r>
      <w:proofErr w:type="spellEnd"/>
      <w:r w:rsidRPr="00BD265D">
        <w:rPr>
          <w:rFonts w:cs="Guttman Drogolin"/>
          <w:color w:val="000000"/>
          <w:sz w:val="24"/>
          <w:szCs w:val="24"/>
          <w:rtl/>
          <w:lang w:val="he-IL" w:eastAsia="he-IL"/>
        </w:rPr>
        <w:t>, אלא סוד הדבר כך הוא... ולפי שגייר שלמה נשים ונשאן וכו׳ ע״ש. ומקורו בגט׳ יבמות (</w:t>
      </w:r>
      <w:proofErr w:type="spellStart"/>
      <w:r w:rsidRPr="00BD265D">
        <w:rPr>
          <w:rFonts w:cs="Guttman Drogolin"/>
          <w:color w:val="000000"/>
          <w:sz w:val="24"/>
          <w:szCs w:val="24"/>
          <w:rtl/>
          <w:lang w:val="he-IL" w:eastAsia="he-IL"/>
        </w:rPr>
        <w:t>עו</w:t>
      </w:r>
      <w:proofErr w:type="spellEnd"/>
      <w:r w:rsidRPr="00BD265D">
        <w:rPr>
          <w:rFonts w:cs="Guttman Drogolin"/>
          <w:color w:val="000000"/>
          <w:sz w:val="24"/>
          <w:szCs w:val="24"/>
          <w:rtl/>
          <w:lang w:val="he-IL" w:eastAsia="he-IL"/>
        </w:rPr>
        <w:t xml:space="preserve"> א) "ויתחתן שלמה את בת פרעה מלך מצרים (מלכים א ג) גיורי גיירה". ואם נבאר פרשה זו האמורה בנחמיה כפשוטה לכאורה שמדובר בנשים נכריות </w:t>
      </w:r>
      <w:proofErr w:type="spellStart"/>
      <w:r w:rsidRPr="00BD265D">
        <w:rPr>
          <w:rFonts w:cs="Guttman Drogolin"/>
          <w:color w:val="000000"/>
          <w:sz w:val="24"/>
          <w:szCs w:val="24"/>
          <w:rtl/>
          <w:lang w:val="he-IL" w:eastAsia="he-IL"/>
        </w:rPr>
        <w:t>בגיותן</w:t>
      </w:r>
      <w:proofErr w:type="spellEnd"/>
      <w:r w:rsidRPr="00BD265D">
        <w:rPr>
          <w:rFonts w:cs="Guttman Drogolin"/>
          <w:color w:val="000000"/>
          <w:sz w:val="24"/>
          <w:szCs w:val="24"/>
          <w:rtl/>
          <w:lang w:val="he-IL" w:eastAsia="he-IL"/>
        </w:rPr>
        <w:t xml:space="preserve"> תהא זו סתירה למסורת המקובלת באומה, וכפי שבאה לידי בטוי בהבהרתו הנ״ל של הרמב״ם שאין המדובר בגמ׳ רק בבת פרעה אלא בכל</w:t>
      </w:r>
      <w:r w:rsidRPr="00BD265D">
        <w:rPr>
          <w:rFonts w:cs="Guttman Drogolin"/>
          <w:sz w:val="24"/>
          <w:szCs w:val="24"/>
          <w:rtl/>
        </w:rPr>
        <w:t xml:space="preserve"> </w:t>
      </w:r>
      <w:r w:rsidRPr="00BD265D">
        <w:rPr>
          <w:rFonts w:cs="Guttman Drogolin"/>
          <w:sz w:val="24"/>
          <w:szCs w:val="24"/>
          <w:rtl/>
        </w:rPr>
        <w:t xml:space="preserve">הנשים הנכריות שנשא, נוסף על </w:t>
      </w:r>
      <w:proofErr w:type="spellStart"/>
      <w:r w:rsidRPr="00BD265D">
        <w:rPr>
          <w:rFonts w:cs="Guttman Drogolin"/>
          <w:sz w:val="24"/>
          <w:szCs w:val="24"/>
          <w:rtl/>
        </w:rPr>
        <w:t>התימה</w:t>
      </w:r>
      <w:proofErr w:type="spellEnd"/>
      <w:r w:rsidRPr="00BD265D">
        <w:rPr>
          <w:rFonts w:cs="Guttman Drogolin"/>
          <w:sz w:val="24"/>
          <w:szCs w:val="24"/>
          <w:rtl/>
        </w:rPr>
        <w:t xml:space="preserve"> היאך הניח נחמיה איסור לאו המפורש בתורה ונטפל לשבוש הלשון. לפיכך נראה ברור כי מסורת חז״ל בהבנת פרשה זו כפי שנמסר לנו על ידי רס״ג שאין המדובר כאן בנשים נכריות </w:t>
      </w:r>
      <w:proofErr w:type="spellStart"/>
      <w:r w:rsidRPr="00BD265D">
        <w:rPr>
          <w:rFonts w:cs="Guttman Drogolin"/>
          <w:sz w:val="24"/>
          <w:szCs w:val="24"/>
          <w:rtl/>
        </w:rPr>
        <w:t>בגיותן</w:t>
      </w:r>
      <w:proofErr w:type="spellEnd"/>
      <w:r w:rsidRPr="00BD265D">
        <w:rPr>
          <w:rFonts w:cs="Guttman Drogolin"/>
          <w:sz w:val="24"/>
          <w:szCs w:val="24"/>
          <w:rtl/>
        </w:rPr>
        <w:t xml:space="preserve">, כי הגויות כבר נתעסק בהו עזרא, ובזמנו הוציאו את הנשים הגויות והקריבו את </w:t>
      </w:r>
      <w:proofErr w:type="spellStart"/>
      <w:r w:rsidRPr="00BD265D">
        <w:rPr>
          <w:rFonts w:cs="Guttman Drogolin"/>
          <w:sz w:val="24"/>
          <w:szCs w:val="24"/>
          <w:rtl/>
        </w:rPr>
        <w:t>אשמם</w:t>
      </w:r>
      <w:proofErr w:type="spellEnd"/>
      <w:r w:rsidRPr="00BD265D">
        <w:rPr>
          <w:rFonts w:cs="Guttman Drogolin"/>
          <w:sz w:val="24"/>
          <w:szCs w:val="24"/>
          <w:rtl/>
        </w:rPr>
        <w:t xml:space="preserve"> כמבואר בעזרא (י), וכאן בנחמיה מדובר בנשים </w:t>
      </w:r>
      <w:proofErr w:type="spellStart"/>
      <w:r w:rsidRPr="00BD265D">
        <w:rPr>
          <w:rFonts w:cs="Guttman Drogolin"/>
          <w:sz w:val="24"/>
          <w:szCs w:val="24"/>
          <w:rtl/>
        </w:rPr>
        <w:t>שנתגיירו</w:t>
      </w:r>
      <w:proofErr w:type="spellEnd"/>
      <w:r w:rsidRPr="00BD265D">
        <w:rPr>
          <w:rFonts w:cs="Guttman Drogolin"/>
          <w:sz w:val="24"/>
          <w:szCs w:val="24"/>
          <w:rtl/>
        </w:rPr>
        <w:t xml:space="preserve"> על פי ההלכה.</w:t>
      </w:r>
    </w:p>
    <w:p w14:paraId="069A3C7A" w14:textId="77777777" w:rsidR="00BD265D" w:rsidRPr="00BD265D" w:rsidRDefault="00BD265D" w:rsidP="00BD265D">
      <w:pPr>
        <w:pStyle w:val="a6"/>
        <w:spacing w:after="240" w:line="343" w:lineRule="exact"/>
        <w:ind w:firstLine="0"/>
        <w:jc w:val="both"/>
        <w:rPr>
          <w:rFonts w:cs="Guttman Drogolin"/>
          <w:sz w:val="24"/>
          <w:szCs w:val="24"/>
          <w:rtl/>
        </w:rPr>
      </w:pPr>
      <w:r w:rsidRPr="00BD265D">
        <w:rPr>
          <w:rFonts w:cs="Guttman Drogolin"/>
          <w:sz w:val="24"/>
          <w:szCs w:val="24"/>
          <w:rtl/>
        </w:rPr>
        <w:t xml:space="preserve">גם מלשון הרמב״ם בהלכות תפלה (פ״א הל' ד) נראה כי מגרעת הבנים הללו היא רק </w:t>
      </w:r>
      <w:r w:rsidRPr="00BD265D">
        <w:rPr>
          <w:rFonts w:cs="Guttman Drogolin"/>
          <w:sz w:val="24"/>
          <w:szCs w:val="24"/>
          <w:rtl/>
        </w:rPr>
        <w:lastRenderedPageBreak/>
        <w:t xml:space="preserve">שאינם יכולים לדבר יהודית כתקנה ולא שהם גוים, וז״ל "כיון שגלו ישראל בימי </w:t>
      </w:r>
      <w:proofErr w:type="spellStart"/>
      <w:r w:rsidRPr="00BD265D">
        <w:rPr>
          <w:rFonts w:cs="Guttman Drogolin"/>
          <w:sz w:val="24"/>
          <w:szCs w:val="24"/>
          <w:rtl/>
        </w:rPr>
        <w:t>נבוכדגצר</w:t>
      </w:r>
      <w:proofErr w:type="spellEnd"/>
      <w:r w:rsidRPr="00BD265D">
        <w:rPr>
          <w:rFonts w:cs="Guttman Drogolin"/>
          <w:sz w:val="24"/>
          <w:szCs w:val="24"/>
          <w:rtl/>
        </w:rPr>
        <w:t xml:space="preserve"> הרשע </w:t>
      </w:r>
      <w:proofErr w:type="spellStart"/>
      <w:r w:rsidRPr="00BD265D">
        <w:rPr>
          <w:rFonts w:cs="Guttman Drogolin"/>
          <w:sz w:val="24"/>
          <w:szCs w:val="24"/>
          <w:rtl/>
        </w:rPr>
        <w:t>נתערבו</w:t>
      </w:r>
      <w:proofErr w:type="spellEnd"/>
      <w:r w:rsidRPr="00BD265D">
        <w:rPr>
          <w:rFonts w:cs="Guttman Drogolin"/>
          <w:sz w:val="24"/>
          <w:szCs w:val="24"/>
          <w:rtl/>
        </w:rPr>
        <w:t xml:space="preserve"> בפרס ויון ושאר האומות ונולדו להם בנים בארצות הגוים, ואותם הבנים </w:t>
      </w:r>
      <w:proofErr w:type="spellStart"/>
      <w:r w:rsidRPr="00BD265D">
        <w:rPr>
          <w:rFonts w:cs="Guttman Drogolin"/>
          <w:sz w:val="24"/>
          <w:szCs w:val="24"/>
          <w:rtl/>
        </w:rPr>
        <w:t>נתבלבלה</w:t>
      </w:r>
      <w:proofErr w:type="spellEnd"/>
      <w:r w:rsidRPr="00BD265D">
        <w:rPr>
          <w:rFonts w:cs="Guttman Drogolin"/>
          <w:sz w:val="24"/>
          <w:szCs w:val="24"/>
          <w:rtl/>
        </w:rPr>
        <w:t xml:space="preserve"> שפתם, </w:t>
      </w:r>
      <w:proofErr w:type="spellStart"/>
      <w:r w:rsidRPr="00BD265D">
        <w:rPr>
          <w:rFonts w:cs="Guttman Drogolin"/>
          <w:sz w:val="24"/>
          <w:szCs w:val="24"/>
          <w:rtl/>
        </w:rPr>
        <w:t>והיתה</w:t>
      </w:r>
      <w:proofErr w:type="spellEnd"/>
      <w:r w:rsidRPr="00BD265D">
        <w:rPr>
          <w:rFonts w:cs="Guttman Drogolin"/>
          <w:sz w:val="24"/>
          <w:szCs w:val="24"/>
          <w:rtl/>
        </w:rPr>
        <w:t xml:space="preserve"> שפת כל אחד ואחד מעורבת מלשונות הרבה, וכיון שהיה מדבר אינו יכול לדבר כל צרכו בלשון אחת אלא בשבוש, שנאמר ובניהם חצי מדבר </w:t>
      </w:r>
      <w:proofErr w:type="spellStart"/>
      <w:r w:rsidRPr="00BD265D">
        <w:rPr>
          <w:rFonts w:cs="Guttman Drogolin"/>
          <w:sz w:val="24"/>
          <w:szCs w:val="24"/>
          <w:rtl/>
        </w:rPr>
        <w:t>אשדדית</w:t>
      </w:r>
      <w:proofErr w:type="spellEnd"/>
      <w:r w:rsidRPr="00BD265D">
        <w:rPr>
          <w:rFonts w:cs="Guttman Drogolin"/>
          <w:sz w:val="24"/>
          <w:szCs w:val="24"/>
          <w:rtl/>
        </w:rPr>
        <w:t xml:space="preserve"> ואינם מכירים לדבר יהודית". ואלו היו הבנים הללו גוים מחמת היותם בני גויות, כלום איכפת לנו היאך הם מדברים ומה הם מדברים.</w:t>
      </w:r>
    </w:p>
    <w:p w14:paraId="660EBB6F" w14:textId="452EEA72" w:rsidR="00BD265D" w:rsidRPr="00BD265D" w:rsidRDefault="00BD265D" w:rsidP="00BD265D">
      <w:pPr>
        <w:pStyle w:val="a6"/>
        <w:spacing w:after="240" w:line="343" w:lineRule="exact"/>
        <w:ind w:firstLine="0"/>
        <w:jc w:val="both"/>
        <w:rPr>
          <w:rFonts w:cs="Guttman Drogolin"/>
          <w:sz w:val="24"/>
          <w:szCs w:val="24"/>
          <w:rtl/>
        </w:rPr>
      </w:pPr>
      <w:r w:rsidRPr="00BD265D">
        <w:rPr>
          <w:rFonts w:cs="Guttman Drogolin"/>
          <w:sz w:val="24"/>
          <w:szCs w:val="24"/>
          <w:rtl/>
        </w:rPr>
        <w:t>אמו</w:t>
      </w:r>
      <w:r>
        <w:rPr>
          <w:rFonts w:cs="Guttman Drogolin" w:hint="cs"/>
          <w:sz w:val="24"/>
          <w:szCs w:val="24"/>
          <w:rtl/>
        </w:rPr>
        <w:t>ר</w:t>
      </w:r>
      <w:r w:rsidRPr="00BD265D">
        <w:rPr>
          <w:rFonts w:cs="Guttman Drogolin"/>
          <w:sz w:val="24"/>
          <w:szCs w:val="24"/>
          <w:rtl/>
        </w:rPr>
        <w:t xml:space="preserve"> מעתה כל המדבר לשון הקדש בשבוש ושלא בדקדוק חייב מלקות מדברי קבלה שנאמר ואכה מהם. וחייב קללה מדברי קבלה שנאמר ואקללם. ועדין תבעי מנין שעובר על לא תעשה? ונראה שכיון ששמענו בפירוש שיש עונש על כך, הרי כלל הוא אצלינו "לא ענש הכתוב אלא אם כן הזהיר" (יומא פא א; סנהדרין נו ב; זבחים קו ב; </w:t>
      </w:r>
      <w:proofErr w:type="spellStart"/>
      <w:r w:rsidRPr="00BD265D">
        <w:rPr>
          <w:rFonts w:cs="Guttman Drogolin"/>
          <w:sz w:val="24"/>
          <w:szCs w:val="24"/>
          <w:rtl/>
        </w:rPr>
        <w:t>קז</w:t>
      </w:r>
      <w:proofErr w:type="spellEnd"/>
      <w:r w:rsidRPr="00BD265D">
        <w:rPr>
          <w:rFonts w:cs="Guttman Drogolin"/>
          <w:sz w:val="24"/>
          <w:szCs w:val="24"/>
          <w:rtl/>
        </w:rPr>
        <w:t xml:space="preserve"> א; כריתות ג ב), וכפי שבאר הרמב״ם בהקדמתו שבסוף י״ד הכללים שהקדים לספר המצוות, שכל דבר שהשמיענו הכתוב שיש עליו עונש נדע ברור שהוא באזהרה, וכך באר עוד שם במצות לא תעשה ס. אם כן כיון ששמענו שיש עונש קללה שנאמר "ואקללם", ומלקות שנאמר "ואכה מהם אנשים", הרי זה באזהרה מדברי קבלה, שלא ענש הכתוב אלא אם כן הזהיר. ואין לתמוה היאך לוקה והרי אין בו מעשה, כי עקימת שפתו </w:t>
      </w:r>
      <w:proofErr w:type="spellStart"/>
      <w:r w:rsidRPr="00BD265D">
        <w:rPr>
          <w:rFonts w:cs="Guttman Drogolin"/>
          <w:sz w:val="24"/>
          <w:szCs w:val="24"/>
          <w:rtl/>
        </w:rPr>
        <w:t>ועקישת</w:t>
      </w:r>
      <w:proofErr w:type="spellEnd"/>
      <w:r w:rsidRPr="00BD265D">
        <w:rPr>
          <w:rFonts w:cs="Guttman Drogolin"/>
          <w:sz w:val="24"/>
          <w:szCs w:val="24"/>
          <w:rtl/>
        </w:rPr>
        <w:t xml:space="preserve"> לשונו הן </w:t>
      </w:r>
      <w:proofErr w:type="spellStart"/>
      <w:r w:rsidRPr="00BD265D">
        <w:rPr>
          <w:rFonts w:cs="Guttman Drogolin"/>
          <w:sz w:val="24"/>
          <w:szCs w:val="24"/>
          <w:rtl/>
        </w:rPr>
        <w:t>הן</w:t>
      </w:r>
      <w:proofErr w:type="spellEnd"/>
      <w:r w:rsidRPr="00BD265D">
        <w:rPr>
          <w:rFonts w:cs="Guttman Drogolin"/>
          <w:sz w:val="24"/>
          <w:szCs w:val="24"/>
          <w:rtl/>
        </w:rPr>
        <w:t xml:space="preserve"> המעשה, </w:t>
      </w:r>
      <w:proofErr w:type="spellStart"/>
      <w:r w:rsidRPr="00BD265D">
        <w:rPr>
          <w:rFonts w:cs="Guttman Drogolin"/>
          <w:sz w:val="24"/>
          <w:szCs w:val="24"/>
          <w:rtl/>
        </w:rPr>
        <w:t>וכדאיתא</w:t>
      </w:r>
      <w:proofErr w:type="spellEnd"/>
      <w:r w:rsidRPr="00BD265D">
        <w:rPr>
          <w:rFonts w:cs="Guttman Drogolin"/>
          <w:sz w:val="24"/>
          <w:szCs w:val="24"/>
          <w:rtl/>
        </w:rPr>
        <w:t xml:space="preserve"> בכמה </w:t>
      </w:r>
      <w:proofErr w:type="spellStart"/>
      <w:r w:rsidRPr="00BD265D">
        <w:rPr>
          <w:rFonts w:cs="Guttman Drogolin"/>
          <w:sz w:val="24"/>
          <w:szCs w:val="24"/>
          <w:rtl/>
        </w:rPr>
        <w:t>דוכתי</w:t>
      </w:r>
      <w:proofErr w:type="spellEnd"/>
      <w:r w:rsidRPr="00BD265D">
        <w:rPr>
          <w:rFonts w:cs="Guttman Drogolin"/>
          <w:sz w:val="24"/>
          <w:szCs w:val="24"/>
          <w:rtl/>
        </w:rPr>
        <w:t xml:space="preserve"> (ראה כתובות מה ב; </w:t>
      </w:r>
      <w:proofErr w:type="spellStart"/>
      <w:r w:rsidRPr="00BD265D">
        <w:rPr>
          <w:rFonts w:cs="Guttman Drogolin"/>
          <w:sz w:val="24"/>
          <w:szCs w:val="24"/>
          <w:rtl/>
        </w:rPr>
        <w:t>ב״מ</w:t>
      </w:r>
      <w:proofErr w:type="spellEnd"/>
      <w:r w:rsidRPr="00BD265D">
        <w:rPr>
          <w:rFonts w:cs="Guttman Drogolin"/>
          <w:sz w:val="24"/>
          <w:szCs w:val="24"/>
          <w:rtl/>
        </w:rPr>
        <w:t xml:space="preserve"> צ ב; סנהדרין סה א).</w:t>
      </w:r>
    </w:p>
    <w:p w14:paraId="5E397B1D" w14:textId="77777777" w:rsidR="00BD265D" w:rsidRPr="00BD265D" w:rsidRDefault="00BD265D" w:rsidP="00BD265D">
      <w:pPr>
        <w:pStyle w:val="a6"/>
        <w:spacing w:after="240" w:line="343" w:lineRule="exact"/>
        <w:ind w:firstLine="0"/>
        <w:jc w:val="both"/>
        <w:rPr>
          <w:rFonts w:cs="Guttman Drogolin"/>
          <w:sz w:val="24"/>
          <w:szCs w:val="24"/>
          <w:rtl/>
        </w:rPr>
      </w:pPr>
      <w:r w:rsidRPr="00BD265D">
        <w:rPr>
          <w:rFonts w:cs="Guttman Drogolin"/>
          <w:sz w:val="24"/>
          <w:szCs w:val="24"/>
          <w:rtl/>
        </w:rPr>
        <w:t>והיה נראה לכאורה כי "ואקללם" אינו נדוי ככל דיניו ומשפטיו שנתבארו בדיני המנודה במסכת מועד קטן (</w:t>
      </w:r>
      <w:proofErr w:type="spellStart"/>
      <w:r w:rsidRPr="00BD265D">
        <w:rPr>
          <w:rFonts w:cs="Guttman Drogolin"/>
          <w:sz w:val="24"/>
          <w:szCs w:val="24"/>
          <w:rtl/>
        </w:rPr>
        <w:t>יז</w:t>
      </w:r>
      <w:proofErr w:type="spellEnd"/>
      <w:r w:rsidRPr="00BD265D">
        <w:rPr>
          <w:rFonts w:cs="Guttman Drogolin"/>
          <w:sz w:val="24"/>
          <w:szCs w:val="24"/>
          <w:rtl/>
        </w:rPr>
        <w:t xml:space="preserve"> א) ועוד, אלא רק קללה בעלמא. מהא </w:t>
      </w:r>
      <w:proofErr w:type="spellStart"/>
      <w:r w:rsidRPr="00BD265D">
        <w:rPr>
          <w:rFonts w:cs="Guttman Drogolin"/>
          <w:sz w:val="24"/>
          <w:szCs w:val="24"/>
          <w:rtl/>
        </w:rPr>
        <w:t>דשבועות</w:t>
      </w:r>
      <w:proofErr w:type="spellEnd"/>
      <w:r w:rsidRPr="00BD265D">
        <w:rPr>
          <w:rFonts w:cs="Guttman Drogolin"/>
          <w:sz w:val="24"/>
          <w:szCs w:val="24"/>
          <w:rtl/>
        </w:rPr>
        <w:t xml:space="preserve"> (לו א) .,תניא ארור בו נדוי בו קללה בו שבועה" הרי משמע שקללה לאו היינו נדוי, ואם כן בנדון דידן לכאורה רק קללה בעלמא ואינו צריך לנהוג בכל דיני הנדוי. אך מלשון הרמב״ן במשפט החרם משמע כי קללה זו לשון חרם היא, ודיני החרם חמורים מדיני הנדוי (ראה מועד קטן טו).</w:t>
      </w:r>
    </w:p>
    <w:p w14:paraId="5E34E45F" w14:textId="77777777" w:rsidR="00BD265D" w:rsidRPr="00BD265D" w:rsidRDefault="00BD265D" w:rsidP="00BD265D">
      <w:pPr>
        <w:pStyle w:val="a6"/>
        <w:spacing w:after="240" w:line="343" w:lineRule="exact"/>
        <w:ind w:firstLine="0"/>
        <w:jc w:val="both"/>
        <w:rPr>
          <w:rFonts w:cs="Guttman Drogolin"/>
          <w:sz w:val="24"/>
          <w:szCs w:val="24"/>
          <w:rtl/>
        </w:rPr>
      </w:pPr>
      <w:r w:rsidRPr="00BD265D">
        <w:rPr>
          <w:rFonts w:cs="Guttman Drogolin"/>
          <w:sz w:val="24"/>
          <w:szCs w:val="24"/>
          <w:rtl/>
        </w:rPr>
        <w:t xml:space="preserve">אבל "ואכה מהם" נראה שאינה מכת מרדות דרבנן וכפי חילוקי שיטות הראשונים שנאמרו בהגדרתה של מכת מרדות, אלא מלקות ארבעים היא כשל תורה, לפי שאין זו דברי סופרים אלא דברי קבלה, ודברי קבלה כדברי תורה דמו, </w:t>
      </w:r>
      <w:proofErr w:type="spellStart"/>
      <w:r w:rsidRPr="00BD265D">
        <w:rPr>
          <w:rFonts w:cs="Guttman Drogolin"/>
          <w:sz w:val="24"/>
          <w:szCs w:val="24"/>
          <w:rtl/>
        </w:rPr>
        <w:t>כדאיתא</w:t>
      </w:r>
      <w:proofErr w:type="spellEnd"/>
      <w:r w:rsidRPr="00BD265D">
        <w:rPr>
          <w:rFonts w:cs="Guttman Drogolin"/>
          <w:sz w:val="24"/>
          <w:szCs w:val="24"/>
          <w:rtl/>
        </w:rPr>
        <w:t xml:space="preserve"> בראש השנה (</w:t>
      </w:r>
      <w:proofErr w:type="spellStart"/>
      <w:r w:rsidRPr="00BD265D">
        <w:rPr>
          <w:rFonts w:cs="Guttman Drogolin"/>
          <w:sz w:val="24"/>
          <w:szCs w:val="24"/>
          <w:rtl/>
        </w:rPr>
        <w:t>יט</w:t>
      </w:r>
      <w:proofErr w:type="spellEnd"/>
      <w:r w:rsidRPr="00BD265D">
        <w:rPr>
          <w:rFonts w:cs="Guttman Drogolin"/>
          <w:sz w:val="24"/>
          <w:szCs w:val="24"/>
          <w:rtl/>
        </w:rPr>
        <w:t xml:space="preserve"> א) "גדליה בן אחיקם דברי קבלה הוא ודברי קבלה כדברי תורה דמו", וברור שאין לחלק בין דברי נביאים לכתובים, שכולן </w:t>
      </w:r>
      <w:proofErr w:type="spellStart"/>
      <w:r w:rsidRPr="00BD265D">
        <w:rPr>
          <w:rFonts w:cs="Guttman Drogolin"/>
          <w:sz w:val="24"/>
          <w:szCs w:val="24"/>
          <w:rtl/>
        </w:rPr>
        <w:t>נקראין</w:t>
      </w:r>
      <w:proofErr w:type="spellEnd"/>
      <w:r w:rsidRPr="00BD265D">
        <w:rPr>
          <w:rFonts w:cs="Guttman Drogolin"/>
          <w:sz w:val="24"/>
          <w:szCs w:val="24"/>
          <w:rtl/>
        </w:rPr>
        <w:t xml:space="preserve"> דברי קבלה, </w:t>
      </w:r>
      <w:proofErr w:type="spellStart"/>
      <w:r w:rsidRPr="00BD265D">
        <w:rPr>
          <w:rFonts w:cs="Guttman Drogolin"/>
          <w:sz w:val="24"/>
          <w:szCs w:val="24"/>
          <w:rtl/>
        </w:rPr>
        <w:t>וכדאיתא</w:t>
      </w:r>
      <w:proofErr w:type="spellEnd"/>
      <w:r w:rsidRPr="00BD265D">
        <w:rPr>
          <w:rFonts w:cs="Guttman Drogolin"/>
          <w:sz w:val="24"/>
          <w:szCs w:val="24"/>
          <w:rtl/>
        </w:rPr>
        <w:t xml:space="preserve"> בסוטה (</w:t>
      </w:r>
      <w:proofErr w:type="spellStart"/>
      <w:r w:rsidRPr="00BD265D">
        <w:rPr>
          <w:rFonts w:cs="Guttman Drogolin"/>
          <w:sz w:val="24"/>
          <w:szCs w:val="24"/>
          <w:rtl/>
        </w:rPr>
        <w:t>לז</w:t>
      </w:r>
      <w:proofErr w:type="spellEnd"/>
      <w:r w:rsidRPr="00BD265D">
        <w:rPr>
          <w:rFonts w:cs="Guttman Drogolin"/>
          <w:sz w:val="24"/>
          <w:szCs w:val="24"/>
          <w:rtl/>
        </w:rPr>
        <w:t xml:space="preserve"> א) ובנדה (כה א) ועוד. ואע״ג </w:t>
      </w:r>
      <w:proofErr w:type="spellStart"/>
      <w:r w:rsidRPr="00BD265D">
        <w:rPr>
          <w:rFonts w:cs="Guttman Drogolin"/>
          <w:sz w:val="24"/>
          <w:szCs w:val="24"/>
          <w:rtl/>
        </w:rPr>
        <w:t>דבעלמא</w:t>
      </w:r>
      <w:proofErr w:type="spellEnd"/>
      <w:r w:rsidRPr="00BD265D">
        <w:rPr>
          <w:rFonts w:cs="Guttman Drogolin"/>
          <w:sz w:val="24"/>
          <w:szCs w:val="24"/>
          <w:rtl/>
        </w:rPr>
        <w:t xml:space="preserve"> אין מלקין על דברי קבלה וכפי שנתבאר בכמה ראשונים, הני מילי כשאין המלקות מפורשת בקבלה, ולא </w:t>
      </w:r>
      <w:proofErr w:type="spellStart"/>
      <w:r w:rsidRPr="00BD265D">
        <w:rPr>
          <w:rFonts w:cs="Guttman Drogolin"/>
          <w:sz w:val="24"/>
          <w:szCs w:val="24"/>
          <w:rtl/>
        </w:rPr>
        <w:t>נתפרשה</w:t>
      </w:r>
      <w:proofErr w:type="spellEnd"/>
      <w:r w:rsidRPr="00BD265D">
        <w:rPr>
          <w:rFonts w:cs="Guttman Drogolin"/>
          <w:sz w:val="24"/>
          <w:szCs w:val="24"/>
          <w:rtl/>
        </w:rPr>
        <w:t xml:space="preserve"> אלא האזהרה, אבל בזה הרי המלקות מפורשת "ואכה מהם אנשים".</w:t>
      </w:r>
    </w:p>
    <w:p w14:paraId="67480E44" w14:textId="420A0720" w:rsidR="00BD265D" w:rsidRPr="00BD265D" w:rsidRDefault="00BD265D" w:rsidP="00BD265D">
      <w:pPr>
        <w:pStyle w:val="a6"/>
        <w:spacing w:after="240" w:line="343" w:lineRule="exact"/>
        <w:ind w:firstLine="0"/>
        <w:jc w:val="both"/>
        <w:rPr>
          <w:rFonts w:cs="Guttman Drogolin"/>
          <w:b/>
          <w:bCs/>
          <w:sz w:val="24"/>
          <w:szCs w:val="24"/>
        </w:rPr>
      </w:pPr>
      <w:proofErr w:type="spellStart"/>
      <w:r w:rsidRPr="00BD265D">
        <w:rPr>
          <w:rFonts w:cs="Guttman Drogolin"/>
          <w:b/>
          <w:bCs/>
          <w:sz w:val="24"/>
          <w:szCs w:val="24"/>
          <w:rtl/>
        </w:rPr>
        <w:t>מסקנא</w:t>
      </w:r>
      <w:proofErr w:type="spellEnd"/>
      <w:r w:rsidRPr="00BD265D">
        <w:rPr>
          <w:rFonts w:cs="Guttman Drogolin"/>
          <w:b/>
          <w:bCs/>
          <w:sz w:val="24"/>
          <w:szCs w:val="24"/>
          <w:rtl/>
        </w:rPr>
        <w:t xml:space="preserve"> </w:t>
      </w:r>
      <w:proofErr w:type="spellStart"/>
      <w:r w:rsidRPr="00BD265D">
        <w:rPr>
          <w:rFonts w:cs="Guttman Drogolin"/>
          <w:b/>
          <w:bCs/>
          <w:sz w:val="24"/>
          <w:szCs w:val="24"/>
          <w:rtl/>
        </w:rPr>
        <w:t>דמלתא</w:t>
      </w:r>
      <w:proofErr w:type="spellEnd"/>
      <w:r w:rsidRPr="00BD265D">
        <w:rPr>
          <w:rFonts w:cs="Guttman Drogolin" w:hint="cs"/>
          <w:b/>
          <w:bCs/>
          <w:sz w:val="24"/>
          <w:szCs w:val="24"/>
          <w:rtl/>
        </w:rPr>
        <w:t>:</w:t>
      </w:r>
      <w:r w:rsidRPr="00BD265D">
        <w:rPr>
          <w:rFonts w:cs="Guttman Drogolin"/>
          <w:b/>
          <w:bCs/>
          <w:sz w:val="24"/>
          <w:szCs w:val="24"/>
          <w:rtl/>
        </w:rPr>
        <w:t xml:space="preserve"> כל שאינו לומד לשון הקדש וכל היודעו ואינו מדבר בו עובר בעשה. וכל המדבר לשון הקדש בשבוש ושלא בדקדוק עובר בלא תעשה ולוקה ארבעים מדברי קבלה.</w:t>
      </w:r>
    </w:p>
    <w:p w14:paraId="01CC7826" w14:textId="52584136" w:rsidR="00A60FE7" w:rsidRPr="00BD265D" w:rsidRDefault="00A60FE7" w:rsidP="00BD265D">
      <w:pPr>
        <w:spacing w:after="240"/>
        <w:jc w:val="both"/>
        <w:rPr>
          <w:rFonts w:cs="Guttman Drogolin" w:hint="cs"/>
          <w:sz w:val="24"/>
          <w:szCs w:val="24"/>
        </w:rPr>
      </w:pPr>
    </w:p>
    <w:sectPr w:rsidR="00A60FE7" w:rsidRPr="00BD265D" w:rsidSect="00DE56D4">
      <w:headerReference w:type="default" r:id="rId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078CB" w14:textId="77777777" w:rsidR="002F1558" w:rsidRDefault="002F1558" w:rsidP="00BD265D">
      <w:pPr>
        <w:spacing w:after="0" w:line="240" w:lineRule="auto"/>
      </w:pPr>
      <w:r>
        <w:separator/>
      </w:r>
    </w:p>
  </w:endnote>
  <w:endnote w:type="continuationSeparator" w:id="0">
    <w:p w14:paraId="3CD5FCCB" w14:textId="77777777" w:rsidR="002F1558" w:rsidRDefault="002F1558" w:rsidP="00BD2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ttman Mantova">
    <w:panose1 w:val="02010401010101010101"/>
    <w:charset w:val="B1"/>
    <w:family w:val="auto"/>
    <w:pitch w:val="variable"/>
    <w:sig w:usb0="00000801" w:usb1="40000000" w:usb2="00000000" w:usb3="00000000" w:csb0="00000020" w:csb1="00000000"/>
  </w:font>
  <w:font w:name="Guttman Rashi">
    <w:panose1 w:val="02010401010101010101"/>
    <w:charset w:val="B1"/>
    <w:family w:val="auto"/>
    <w:pitch w:val="variable"/>
    <w:sig w:usb0="00000801" w:usb1="40000000" w:usb2="00000000" w:usb3="00000000" w:csb0="00000020" w:csb1="00000000"/>
  </w:font>
  <w:font w:name="Guttman Drogolin">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D7792" w14:textId="77777777" w:rsidR="002F1558" w:rsidRDefault="002F1558" w:rsidP="00BD265D">
      <w:pPr>
        <w:spacing w:after="0" w:line="240" w:lineRule="auto"/>
      </w:pPr>
      <w:r>
        <w:separator/>
      </w:r>
    </w:p>
  </w:footnote>
  <w:footnote w:type="continuationSeparator" w:id="0">
    <w:p w14:paraId="4FE23269" w14:textId="77777777" w:rsidR="002F1558" w:rsidRDefault="002F1558" w:rsidP="00BD26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921F0" w14:textId="7E545F78" w:rsidR="00BD265D" w:rsidRPr="00BD265D" w:rsidRDefault="00BD265D" w:rsidP="00BD265D">
    <w:pPr>
      <w:pStyle w:val="a7"/>
      <w:jc w:val="cente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265D">
      <w:rPr>
        <w:rFonts w:hint="cs"/>
        <w:bCs/>
        <w:color w:val="000000" w:themeColor="text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כל שאינו מדבר לשון הקודש כתקנה עובר בלאו</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65D"/>
    <w:rsid w:val="002F1558"/>
    <w:rsid w:val="00351A0F"/>
    <w:rsid w:val="00A60FE7"/>
    <w:rsid w:val="00BD265D"/>
    <w:rsid w:val="00DE56D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C1911"/>
  <w15:chartTrackingRefBased/>
  <w15:docId w15:val="{9D1E5BE3-B3FB-4CD9-B825-8B9B0E8F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פסוקים"/>
    <w:basedOn w:val="a"/>
    <w:link w:val="a4"/>
    <w:autoRedefine/>
    <w:qFormat/>
    <w:rsid w:val="00351A0F"/>
    <w:pPr>
      <w:jc w:val="both"/>
    </w:pPr>
    <w:rPr>
      <w:rFonts w:cs="Guttman Mantova"/>
      <w:b/>
      <w:bCs/>
      <w:szCs w:val="40"/>
      <w:shd w:val="clear" w:color="auto" w:fill="FFFFFF"/>
    </w:rPr>
  </w:style>
  <w:style w:type="character" w:customStyle="1" w:styleId="a4">
    <w:name w:val="פסוקים תו"/>
    <w:basedOn w:val="a0"/>
    <w:link w:val="a3"/>
    <w:rsid w:val="00351A0F"/>
    <w:rPr>
      <w:rFonts w:cs="Guttman Mantova"/>
      <w:b/>
      <w:bCs/>
      <w:szCs w:val="40"/>
    </w:rPr>
  </w:style>
  <w:style w:type="character" w:customStyle="1" w:styleId="a5">
    <w:name w:val="גוף הטקסט_"/>
    <w:basedOn w:val="a0"/>
    <w:link w:val="a6"/>
    <w:rsid w:val="00BD265D"/>
    <w:rPr>
      <w:rFonts w:ascii="Guttman Rashi" w:eastAsia="Guttman Rashi" w:hAnsi="Guttman Rashi" w:cs="Guttman Rashi"/>
    </w:rPr>
  </w:style>
  <w:style w:type="paragraph" w:customStyle="1" w:styleId="a6">
    <w:name w:val="גוף הטקסט"/>
    <w:basedOn w:val="a"/>
    <w:link w:val="a5"/>
    <w:rsid w:val="00BD265D"/>
    <w:pPr>
      <w:widowControl w:val="0"/>
      <w:spacing w:after="0" w:line="262" w:lineRule="auto"/>
      <w:ind w:firstLine="400"/>
    </w:pPr>
    <w:rPr>
      <w:rFonts w:ascii="Guttman Rashi" w:eastAsia="Guttman Rashi" w:hAnsi="Guttman Rashi" w:cs="Guttman Rashi"/>
    </w:rPr>
  </w:style>
  <w:style w:type="paragraph" w:styleId="a7">
    <w:name w:val="header"/>
    <w:basedOn w:val="a"/>
    <w:link w:val="a8"/>
    <w:uiPriority w:val="99"/>
    <w:unhideWhenUsed/>
    <w:rsid w:val="00BD265D"/>
    <w:pPr>
      <w:tabs>
        <w:tab w:val="center" w:pos="4153"/>
        <w:tab w:val="right" w:pos="8306"/>
      </w:tabs>
      <w:spacing w:after="0" w:line="240" w:lineRule="auto"/>
    </w:pPr>
  </w:style>
  <w:style w:type="character" w:customStyle="1" w:styleId="a8">
    <w:name w:val="כותרת עליונה תו"/>
    <w:basedOn w:val="a0"/>
    <w:link w:val="a7"/>
    <w:uiPriority w:val="99"/>
    <w:rsid w:val="00BD265D"/>
  </w:style>
  <w:style w:type="paragraph" w:styleId="a9">
    <w:name w:val="footer"/>
    <w:basedOn w:val="a"/>
    <w:link w:val="aa"/>
    <w:uiPriority w:val="99"/>
    <w:unhideWhenUsed/>
    <w:rsid w:val="00BD265D"/>
    <w:pPr>
      <w:tabs>
        <w:tab w:val="center" w:pos="4153"/>
        <w:tab w:val="right" w:pos="8306"/>
      </w:tabs>
      <w:spacing w:after="0" w:line="240" w:lineRule="auto"/>
    </w:pPr>
  </w:style>
  <w:style w:type="character" w:customStyle="1" w:styleId="aa">
    <w:name w:val="כותרת תחתונה תו"/>
    <w:basedOn w:val="a0"/>
    <w:link w:val="a9"/>
    <w:uiPriority w:val="99"/>
    <w:rsid w:val="00BD26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1279</Words>
  <Characters>6396</Characters>
  <Application>Microsoft Office Word</Application>
  <DocSecurity>0</DocSecurity>
  <Lines>53</Lines>
  <Paragraphs>15</Paragraphs>
  <ScaleCrop>false</ScaleCrop>
  <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מעשה הכתב</dc:creator>
  <cp:keywords/>
  <dc:description/>
  <cp:lastModifiedBy>מעשה הכתב</cp:lastModifiedBy>
  <cp:revision>1</cp:revision>
  <dcterms:created xsi:type="dcterms:W3CDTF">2022-08-21T10:57:00Z</dcterms:created>
  <dcterms:modified xsi:type="dcterms:W3CDTF">2022-08-21T11:02:00Z</dcterms:modified>
</cp:coreProperties>
</file>