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color w:val="auto"/>
          <w:rtl/>
        </w:rPr>
      </w:pPr>
      <w:r>
        <w:rPr>
          <w:color w:val="auto"/>
          <w:rtl/>
        </w:rPr>
        <w:t>להודות ולהלל מפני שראו עין בעין נס נגלה. ובאמת לא כן הוא, כי גם על נס המלחמה לבדו קבעו להודות ולהלל, כי היה אצלם נס זה ככל הניסים הגלוים "כיום הזה</w:t>
      </w:r>
      <w:bookmarkStart w:id="0" w:name="_GoBack"/>
      <w:bookmarkEnd w:id="0"/>
      <w:r>
        <w:rPr>
          <w:color w:val="auto"/>
          <w:rtl/>
        </w:rPr>
        <w:t xml:space="preserve">":@90&gt;@11 </w:t>
      </w:r>
    </w:p>
    <w:p>
      <w:pPr>
        <w:pStyle w:val="2"/>
        <w:rPr>
          <w:color w:val="auto"/>
          <w:rtl/>
        </w:rPr>
      </w:pPr>
      <w:r>
        <w:rPr>
          <w:color w:val="auto"/>
          <w:rtl/>
        </w:rPr>
        <w:t>#@00</w:t>
      </w:r>
      <w:r>
        <w:rPr>
          <w:rFonts w:hint="eastAsia"/>
          <w:color w:val="auto"/>
          <w:rtl/>
        </w:rPr>
        <w:t>עוד</w:t>
      </w:r>
      <w:r>
        <w:rPr>
          <w:color w:val="auto"/>
          <w:rtl/>
        </w:rPr>
        <w:t xml:space="preserve"> </w:t>
      </w:r>
      <w:r>
        <w:rPr>
          <w:rFonts w:hint="eastAsia"/>
          <w:color w:val="auto"/>
          <w:rtl/>
        </w:rPr>
        <w:t>בענין</w:t>
      </w:r>
      <w:r>
        <w:rPr>
          <w:color w:val="auto"/>
          <w:rtl/>
        </w:rPr>
        <w:t xml:space="preserve"> אמונה </w:t>
      </w:r>
      <w:r>
        <w:rPr>
          <w:rFonts w:hint="eastAsia"/>
          <w:color w:val="auto"/>
          <w:rtl/>
        </w:rPr>
        <w:t>בניסים</w:t>
      </w:r>
      <w:r>
        <w:rPr>
          <w:color w:val="auto"/>
          <w:rtl/>
        </w:rPr>
        <w:t xml:space="preserve"> נסתרים</w:t>
      </w:r>
    </w:p>
    <w:p>
      <w:pPr>
        <w:pStyle w:val="3"/>
        <w:rPr>
          <w:rtl/>
        </w:rPr>
      </w:pPr>
      <w:r>
        <w:rPr>
          <w:rtl/>
        </w:rPr>
        <w:t>@02לְעַם יִשְׂרָאֵל אֵין צֹרֶךְ בְּנִסִּים, רַק נִצְרָךְ כְּדֵי לְהַרְאוֹת לְהָאֻמּוֹת הַנְהָגַת ה'</w:t>
      </w:r>
    </w:p>
    <w:p>
      <w:pPr>
        <w:pStyle w:val="a7"/>
        <w:rPr>
          <w:color w:val="auto"/>
          <w:rtl/>
        </w:rPr>
      </w:pPr>
      <w:r>
        <w:rPr>
          <w:color w:val="auto"/>
          <w:sz w:val="22"/>
          <w:szCs w:val="22"/>
          <w:rtl/>
        </w:rPr>
        <w:t xml:space="preserve">@??בַּנֻּסָּח עַל הַנִּסִּים: </w:t>
      </w:r>
      <w:r>
        <w:rPr>
          <w:color w:val="auto"/>
          <w:rtl/>
        </w:rPr>
        <w:t>@22וּלְךָ עָשִׂיתָ שֵׁם גָּדוֹל וְקָדוֹשׁ בְּעוֹלָמֶךָ, וּלְעַמְּךָ יִשְׂרָאֵל עָשִׂיתָ תְּשׁוּעָה גְדוֹלָה וּפֻרְקָן כְּהַיּוֹם הַזֶּה:</w:t>
      </w:r>
    </w:p>
    <w:p>
      <w:pPr>
        <w:pStyle w:val="a9"/>
        <w:rPr>
          <w:color w:val="auto"/>
          <w:rtl/>
        </w:rPr>
      </w:pPr>
      <w:r>
        <w:rPr>
          <w:color w:val="auto"/>
          <w:rtl/>
        </w:rPr>
        <w:t>@01הַגּוֹיִם יְהַלְלוּהו ר</w:t>
      </w:r>
      <w:r>
        <w:rPr>
          <w:rFonts w:hint="eastAsia"/>
          <w:color w:val="auto"/>
          <w:rtl/>
        </w:rPr>
        <w:t>ַק</w:t>
      </w:r>
      <w:r>
        <w:rPr>
          <w:color w:val="auto"/>
          <w:rtl/>
        </w:rPr>
        <w:t xml:space="preserve"> כְּשֶׁמַּרְאֶה הַקָּדוֹשׁ בָּרוּךְ הוּא גְּבוּרָתוֹ בְּשִׁנּוּי הַטֶּבַע </w:t>
      </w:r>
    </w:p>
    <w:p>
      <w:pPr>
        <w:rPr>
          <w:color w:val="auto"/>
          <w:rtl/>
        </w:rPr>
      </w:pPr>
      <w:r>
        <w:rPr>
          <w:color w:val="auto"/>
          <w:rtl/>
        </w:rPr>
        <w:t>יֵשׁ לְפָרֵשׁ, עַל פִּי מַה שֶּׁ</w:t>
      </w:r>
      <w:r>
        <w:rPr>
          <w:rFonts w:hint="eastAsia"/>
          <w:color w:val="auto"/>
          <w:rtl/>
        </w:rPr>
        <w:t>פירשו</w:t>
      </w:r>
      <w:r>
        <w:rPr>
          <w:color w:val="auto"/>
          <w:rtl/>
        </w:rPr>
        <w:t xml:space="preserve"> הַמְפָרְשִׁים </w:t>
      </w:r>
      <w:r>
        <w:rPr>
          <w:color w:val="auto"/>
          <w:highlight w:val="yellow"/>
          <w:rtl/>
        </w:rPr>
        <w:t>(???)</w:t>
      </w:r>
      <w:r>
        <w:rPr>
          <w:color w:val="auto"/>
          <w:rtl/>
        </w:rPr>
        <w:t xml:space="preserve"> בִּתְהִלִּים @55(קיז, א-</w:t>
      </w:r>
      <w:r>
        <w:rPr>
          <w:rFonts w:hint="eastAsia"/>
          <w:color w:val="auto"/>
          <w:rtl/>
        </w:rPr>
        <w:t>קיח</w:t>
      </w:r>
      <w:r>
        <w:rPr>
          <w:color w:val="auto"/>
          <w:rtl/>
        </w:rPr>
        <w:t xml:space="preserve">, </w:t>
      </w:r>
      <w:r>
        <w:rPr>
          <w:rFonts w:hint="eastAsia"/>
          <w:color w:val="auto"/>
          <w:rtl/>
        </w:rPr>
        <w:t>ב</w:t>
      </w:r>
      <w:r>
        <w:rPr>
          <w:color w:val="auto"/>
          <w:rtl/>
        </w:rPr>
        <w:t>)@11: "הַלְלוּ אֶת ה' כָּל גּוֹיִם, שַׁבְּחוּהוּ כָּל הָאֻמִּים. כִּי גָבַר עָלֵינוּ חַסְדּוֹ, וֶאֱמֶת ה' לְעוֹלָם הַלְלוּיָהּ. הוֹדוּ וְכוּ'. יֹאמַר נָא יִשְׂרָאֵל, כִּי לְעוֹלָם חַסְדּוֹ" - כִּי יָדוּעַ שֶׁהָאֻמּוֹת אוֹמְרִים, כִּי הַקָּדוֹשׁ בָּרוּךְ הוּא, הוּא בַּשָּׁמַיִם כְּבוֹדוֹ לְבַד, וְאֵין כְּבוֹדוֹ לְהַשְׁגִּיחַ בַּתַּחְתּוֹנִים. אֲבָל אָנוּ אוֹמְרִים: "מִי כַּה' אֱלֹהֵינוּ הַמַּגְבִּיהִי לָשָׁבֶת, הַמַּשְׁפִּילִי לִרְאוֹת בַּשָּׁמַיִם וּבָאָרֶץ" @55(שָׁם קיג, ה)@11, כִּי גַּם הַשָּׁמַיִם אֵינָם לְפִי כְּבוֹדוֹ, וּכְשֵׁם שֶׁמַּשְׁפִּילִי לִרְאוֹת בַּשָּׁמַיִם, כָּךְ עַל הָאָרֶץ. אָמְנָם כְּשֶׁמַּרְאֶה הַקָּדוֹשׁ בָּרוּךְ הוּא גְּבוּרָתוֹ בְּשִׁנּוּי הַטֶּבַע, אָז גַּם הַגּוֹיִם יְהַלְלוּהוּ. וְזֶה</w:t>
      </w:r>
      <w:r>
        <w:rPr>
          <w:rFonts w:hint="eastAsia"/>
          <w:color w:val="auto"/>
          <w:rtl/>
        </w:rPr>
        <w:t>וּ</w:t>
      </w:r>
      <w:r>
        <w:rPr>
          <w:color w:val="auto"/>
          <w:rtl/>
        </w:rPr>
        <w:t xml:space="preserve"> שֶׁאָמַר: @66הַלְלוּ אֶת ה' כָּל גּוֹיִם, @11רַק @66כִּי גָבַר עָלֵינוּ חַסְדּוֹ. @11אֲבָל @66יֹאמַר נָא יִשְׂרָאֵל כִּי לְעוֹלָם חַסְדּוֹ - @11וְתָמִיד הַשְׁגָּחָתוֹ עָלֵינוּ. </w:t>
      </w:r>
    </w:p>
    <w:p>
      <w:pPr>
        <w:pStyle w:val="a9"/>
        <w:rPr>
          <w:color w:val="auto"/>
          <w:rtl/>
        </w:rPr>
      </w:pPr>
      <w:r>
        <w:rPr>
          <w:color w:val="auto"/>
          <w:rtl/>
        </w:rPr>
        <w:t>@01מֵהִלּוּךְ הַחַמָּה בַּיּוֹם גַּם כֵּן רַב לְךָ לָדַעַת אֶת ה'</w:t>
      </w:r>
    </w:p>
    <w:p>
      <w:pPr>
        <w:rPr>
          <w:color w:val="auto"/>
          <w:rtl/>
        </w:rPr>
      </w:pPr>
      <w:r>
        <w:rPr>
          <w:color w:val="auto"/>
          <w:rtl/>
        </w:rPr>
        <w:t>וּכְבָר כָּתַבְנוּ בְּסִימָן א'</w:t>
      </w:r>
      <w:r>
        <w:rPr>
          <w:rStyle w:val="a3"/>
          <w:color w:val="auto"/>
          <w:rtl/>
        </w:rPr>
        <w:footnoteReference w:id="1"/>
      </w:r>
      <w:r>
        <w:rPr>
          <w:color w:val="auto"/>
          <w:rtl/>
        </w:rPr>
        <w:t xml:space="preserve"> מַה שֶּׁפֵּ</w:t>
      </w:r>
      <w:r>
        <w:rPr>
          <w:rFonts w:hint="eastAsia"/>
          <w:color w:val="auto"/>
          <w:rtl/>
        </w:rPr>
        <w:t>י</w:t>
      </w:r>
      <w:r>
        <w:rPr>
          <w:color w:val="auto"/>
          <w:rtl/>
        </w:rPr>
        <w:t>רֵשׁ @</w:t>
      </w:r>
      <w:r>
        <w:rPr>
          <w:b/>
          <w:bCs/>
          <w:color w:val="auto"/>
          <w:rtl/>
        </w:rPr>
        <w:t>66בַּעַל עֲקֵדָה</w:t>
      </w:r>
      <w:r>
        <w:rPr>
          <w:color w:val="auto"/>
          <w:rtl/>
        </w:rPr>
        <w:t xml:space="preserve"> @11בְּשַׁעַר </w:t>
      </w:r>
      <w:r>
        <w:rPr>
          <w:rFonts w:hint="eastAsia"/>
          <w:color w:val="auto"/>
          <w:rtl/>
        </w:rPr>
        <w:t>רִאשׁוֺן</w:t>
      </w:r>
      <w:r>
        <w:rPr>
          <w:color w:val="auto"/>
          <w:rtl/>
        </w:rPr>
        <w:t xml:space="preserve"> </w:t>
      </w:r>
      <w:r>
        <w:rPr>
          <w:color w:val="auto"/>
          <w:sz w:val="22"/>
          <w:szCs w:val="22"/>
          <w:rtl/>
        </w:rPr>
        <w:t>@55(</w:t>
      </w:r>
      <w:r>
        <w:rPr>
          <w:rFonts w:hint="eastAsia"/>
          <w:color w:val="auto"/>
          <w:sz w:val="22"/>
          <w:szCs w:val="22"/>
          <w:rtl/>
        </w:rPr>
        <w:t>נעילת</w:t>
      </w:r>
      <w:r>
        <w:rPr>
          <w:color w:val="auto"/>
          <w:sz w:val="22"/>
          <w:szCs w:val="22"/>
          <w:rtl/>
        </w:rPr>
        <w:t xml:space="preserve"> </w:t>
      </w:r>
      <w:r>
        <w:rPr>
          <w:rFonts w:hint="eastAsia"/>
          <w:color w:val="auto"/>
          <w:sz w:val="22"/>
          <w:szCs w:val="22"/>
          <w:rtl/>
        </w:rPr>
        <w:t>השער</w:t>
      </w:r>
      <w:r>
        <w:rPr>
          <w:color w:val="auto"/>
          <w:sz w:val="22"/>
          <w:szCs w:val="22"/>
          <w:rtl/>
        </w:rPr>
        <w:t xml:space="preserve">, </w:t>
      </w:r>
      <w:r>
        <w:rPr>
          <w:rFonts w:hint="eastAsia"/>
          <w:color w:val="auto"/>
          <w:sz w:val="22"/>
          <w:szCs w:val="22"/>
          <w:rtl/>
        </w:rPr>
        <w:t>ד</w:t>
      </w:r>
      <w:r>
        <w:rPr>
          <w:color w:val="auto"/>
          <w:sz w:val="22"/>
          <w:szCs w:val="22"/>
          <w:rtl/>
        </w:rPr>
        <w:t xml:space="preserve">"ה </w:t>
      </w:r>
      <w:r>
        <w:rPr>
          <w:rFonts w:hint="eastAsia"/>
          <w:color w:val="auto"/>
          <w:sz w:val="22"/>
          <w:szCs w:val="22"/>
          <w:rtl/>
        </w:rPr>
        <w:t>השמים</w:t>
      </w:r>
      <w:r>
        <w:rPr>
          <w:color w:val="auto"/>
          <w:sz w:val="22"/>
          <w:szCs w:val="22"/>
          <w:rtl/>
        </w:rPr>
        <w:t xml:space="preserve"> </w:t>
      </w:r>
      <w:r>
        <w:rPr>
          <w:rFonts w:hint="eastAsia"/>
          <w:color w:val="auto"/>
          <w:sz w:val="22"/>
          <w:szCs w:val="22"/>
          <w:rtl/>
        </w:rPr>
        <w:t>מספרים</w:t>
      </w:r>
      <w:r>
        <w:rPr>
          <w:color w:val="auto"/>
          <w:sz w:val="22"/>
          <w:szCs w:val="22"/>
          <w:rtl/>
        </w:rPr>
        <w:t>)@11</w:t>
      </w:r>
      <w:r>
        <w:rPr>
          <w:color w:val="auto"/>
          <w:rtl/>
        </w:rPr>
        <w:t>: "וְיָדַעְתָּ הַיּוֹם וַהֲשֵׁבֹתָ אֶל לְבָבֶךָ כִּי ה' הוּא הָאֱלֹהִים בַּשָּׁמַיִם מִמַּעַל וְעַל הָאָרֶץ מִתָּחַת אֵין עוֹד" @</w:t>
      </w:r>
      <w:r>
        <w:rPr>
          <w:color w:val="auto"/>
          <w:sz w:val="22"/>
          <w:szCs w:val="22"/>
          <w:rtl/>
        </w:rPr>
        <w:t>55(דְּבָרִים ד, לט)@</w:t>
      </w:r>
      <w:r>
        <w:rPr>
          <w:color w:val="auto"/>
          <w:rtl/>
        </w:rPr>
        <w:t>11 - כִּי מֵהִלּוּךְ הַחַמָּה בַּיּוֹם גַּם כֵּן רַב לְךָ לָדַעַת אֶת ה', כְּמוֹ שֶׁנֶּאֱמַר @55</w:t>
      </w:r>
      <w:r>
        <w:rPr>
          <w:color w:val="auto"/>
          <w:sz w:val="22"/>
          <w:szCs w:val="22"/>
          <w:rtl/>
        </w:rPr>
        <w:t>(תְּהִלִּים יט, ב)@</w:t>
      </w:r>
      <w:r>
        <w:rPr>
          <w:color w:val="auto"/>
          <w:rtl/>
        </w:rPr>
        <w:t>11: "הַשָּׁמַיִם מְסַפְּרִים כְּבוֹד אֵל". וּפֵ</w:t>
      </w:r>
      <w:r>
        <w:rPr>
          <w:rFonts w:hint="eastAsia"/>
          <w:color w:val="auto"/>
          <w:rtl/>
        </w:rPr>
        <w:t>י</w:t>
      </w:r>
      <w:r>
        <w:rPr>
          <w:color w:val="auto"/>
          <w:rtl/>
        </w:rPr>
        <w:t>רֵשׁ בָּזֶה מַאֲמַר רַבּוֹתֵינוּ זַ"ל @</w:t>
      </w:r>
      <w:r>
        <w:rPr>
          <w:color w:val="auto"/>
          <w:sz w:val="22"/>
          <w:szCs w:val="22"/>
          <w:rtl/>
        </w:rPr>
        <w:t>55(יוֹמָא דַּף כ:)@11</w:t>
      </w:r>
      <w:r>
        <w:rPr>
          <w:color w:val="auto"/>
          <w:rtl/>
        </w:rPr>
        <w:t>: "אִלְמָלֵא קוֹל הֲמוֹנָהּ שֶׁל עִיר הָיָה נִשְׁמָע קוֹל גַּלְגַּל חַמָּה" – כְּלוֹמַר: אִם לֹא הָיוּ מְסִיתִים וּמַדִּיחִים הַמְכֻנֶּה "קוֹל הֲמוֹנָהּ שֶׁל עִיר", שֶׁהָיוּ מִשְׁתַּדְּלִים בְּכָל עֹז לְהַשְׁכִּיחַ שְׁמוֹ יִתְבָּרַךְ, לֹא הָיָה אָדָם שֶׁלֹּא הָיָה מַשִּׂיג בִּשְׁלֵמוּת הַשְׁגָּחַת ה' מִקּוֹל גַּלְגַּל חַמָּה. וְכֵן לְהֶפֶךְ - אִלְמָלֵא קוֹל גַּלְגַּל חַמָּה הָיָה נִשְׁמָע קוֹל הֲמוֹנָהּ שֶׁל עִיר, עַיֵּן שָׁם</w:t>
      </w:r>
      <w:r>
        <w:rPr>
          <w:rStyle w:val="a3"/>
          <w:color w:val="auto"/>
          <w:rtl/>
        </w:rPr>
        <w:footnoteReference w:id="2"/>
      </w:r>
      <w:r>
        <w:rPr>
          <w:color w:val="auto"/>
          <w:rtl/>
        </w:rPr>
        <w:t>. וְזֶה שֶׁאָמַר: @</w:t>
      </w:r>
      <w:r>
        <w:rPr>
          <w:b/>
          <w:bCs/>
          <w:color w:val="auto"/>
          <w:rtl/>
        </w:rPr>
        <w:t>66וּלְךָ עָשִׂיתָ שֵׁם גָּדוֹל וְקָדוֹשׁ בְּעוֹלָמֶךָ</w:t>
      </w:r>
      <w:r>
        <w:rPr>
          <w:color w:val="auto"/>
          <w:rtl/>
        </w:rPr>
        <w:t xml:space="preserve"> - @11שֶׁלֹּא הָיוּ מַאֲמִינִים רַק עַל יְדֵי שֶׁעָשִׂיתָ גְּבוּרוֹת וּתְשׁוּעוֹת לְמַעְלָה מִן הַטֶּבַע. אֲבָל @</w:t>
      </w:r>
      <w:r>
        <w:rPr>
          <w:b/>
          <w:bCs/>
          <w:color w:val="auto"/>
          <w:rtl/>
        </w:rPr>
        <w:t>66לְעַמְּךָ יִּשְׂרָאֵל</w:t>
      </w:r>
      <w:r>
        <w:rPr>
          <w:color w:val="auto"/>
          <w:rtl/>
        </w:rPr>
        <w:t xml:space="preserve"> @11הַחֲבוּקִים וּדְבוּקִים בְּךָ תָּמִיד, @</w:t>
      </w:r>
      <w:r>
        <w:rPr>
          <w:b/>
          <w:bCs/>
          <w:color w:val="auto"/>
          <w:rtl/>
        </w:rPr>
        <w:t>66עָשִׂיתָ תְּשׁוּעָה גְדוֹלָה וּפֻרְקָן כְּהַיּוֹם הַזֶּה</w:t>
      </w:r>
      <w:r>
        <w:rPr>
          <w:color w:val="auto"/>
          <w:rtl/>
        </w:rPr>
        <w:t xml:space="preserve"> -@11 אֶצְלָם הָיָה שָׁוֶה נֵס זֶה לְנִסֵּי כָּל יוֹם וָיוֹם. כִּי גַּם מִן הַיּוֹם יַכִּירוּ וְיֵדְעוּ כִּי ה' הוּא אֱלֹהִים בַּשָּׁמַיִם מִמַּעַל וְעַל הָאָרֶץ מִתַּחַת, כְּמוֹ שֶׁ</w:t>
      </w:r>
      <w:r>
        <w:rPr>
          <w:rFonts w:hint="eastAsia"/>
          <w:color w:val="auto"/>
          <w:rtl/>
        </w:rPr>
        <w:t>נ</w:t>
      </w:r>
      <w:r>
        <w:rPr>
          <w:color w:val="auto"/>
          <w:rtl/>
        </w:rPr>
        <w:t>אָמַר: "וְיָדַעְתָּ הַיּוֹם" וְכוּ', וְקַל לְהָבִין:</w:t>
      </w:r>
    </w:p>
    <w:p/>
    <w:sect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ab"/>
        <w:rPr>
          <w:color w:val="auto"/>
          <w:rtl/>
        </w:rPr>
      </w:pPr>
      <w:r>
        <w:rPr>
          <w:rStyle w:val="a3"/>
          <w:color w:val="auto"/>
        </w:rPr>
        <w:footnoteRef/>
      </w:r>
      <w:r>
        <w:rPr>
          <w:color w:val="auto"/>
          <w:rtl/>
        </w:rPr>
        <w:t xml:space="preserve"> </w:t>
      </w:r>
      <w:r>
        <w:rPr>
          <w:rFonts w:hint="eastAsia"/>
          <w:color w:val="auto"/>
          <w:rtl/>
        </w:rPr>
        <w:t>לעיל</w:t>
      </w:r>
      <w:r>
        <w:rPr>
          <w:color w:val="auto"/>
          <w:rtl/>
        </w:rPr>
        <w:t xml:space="preserve"> ד"ה "ולך </w:t>
      </w:r>
      <w:r>
        <w:rPr>
          <w:rFonts w:hint="eastAsia"/>
          <w:color w:val="auto"/>
          <w:rtl/>
        </w:rPr>
        <w:t>עשית</w:t>
      </w:r>
      <w:r>
        <w:rPr>
          <w:color w:val="auto"/>
          <w:rtl/>
        </w:rPr>
        <w:t>", עמ' ???.</w:t>
      </w:r>
    </w:p>
  </w:footnote>
  <w:footnote w:id="2">
    <w:p>
      <w:pPr>
        <w:pStyle w:val="ab"/>
        <w:rPr>
          <w:color w:val="auto"/>
        </w:rPr>
      </w:pPr>
      <w:r>
        <w:rPr>
          <w:rStyle w:val="a3"/>
          <w:color w:val="auto"/>
        </w:rPr>
        <w:footnoteRef/>
      </w:r>
      <w:r>
        <w:rPr>
          <w:color w:val="auto"/>
          <w:rtl/>
        </w:rPr>
        <w:t xml:space="preserve"> </w:t>
      </w:r>
      <w:r>
        <w:rPr>
          <w:rFonts w:hint="eastAsia"/>
          <w:color w:val="auto"/>
          <w:rtl/>
        </w:rPr>
        <w:t>וז</w:t>
      </w:r>
      <w:r>
        <w:rPr>
          <w:color w:val="auto"/>
          <w:rtl/>
        </w:rPr>
        <w:t xml:space="preserve">"ל </w:t>
      </w:r>
      <w:r>
        <w:rPr>
          <w:rFonts w:hint="eastAsia"/>
          <w:color w:val="auto"/>
          <w:rtl/>
        </w:rPr>
        <w:t>הספר</w:t>
      </w:r>
      <w:r>
        <w:rPr>
          <w:color w:val="auto"/>
          <w:rtl/>
        </w:rPr>
        <w:t xml:space="preserve"> @66</w:t>
      </w:r>
      <w:r>
        <w:rPr>
          <w:rFonts w:hint="eastAsia"/>
          <w:color w:val="auto"/>
          <w:rtl/>
        </w:rPr>
        <w:t>עקידת</w:t>
      </w:r>
      <w:r>
        <w:rPr>
          <w:color w:val="auto"/>
          <w:rtl/>
        </w:rPr>
        <w:t xml:space="preserve"> </w:t>
      </w:r>
      <w:r>
        <w:rPr>
          <w:rFonts w:hint="eastAsia"/>
          <w:color w:val="auto"/>
          <w:rtl/>
        </w:rPr>
        <w:t>יצחק</w:t>
      </w:r>
      <w:r>
        <w:rPr>
          <w:color w:val="auto"/>
          <w:rtl/>
        </w:rPr>
        <w:t>@11@55(</w:t>
      </w:r>
      <w:r>
        <w:rPr>
          <w:rFonts w:hint="eastAsia"/>
          <w:color w:val="auto"/>
          <w:rtl/>
        </w:rPr>
        <w:t>מאת</w:t>
      </w:r>
      <w:r>
        <w:rPr>
          <w:color w:val="auto"/>
          <w:rtl/>
        </w:rPr>
        <w:t xml:space="preserve"> רבי יצחק </w:t>
      </w:r>
      <w:r>
        <w:rPr>
          <w:rFonts w:hint="eastAsia"/>
          <w:color w:val="auto"/>
          <w:rtl/>
        </w:rPr>
        <w:t>עראמה</w:t>
      </w:r>
      <w:r>
        <w:rPr>
          <w:color w:val="auto"/>
          <w:rtl/>
        </w:rPr>
        <w:t xml:space="preserve"> מחכמי ספרד, בין השנים ק"פ-רנ"ד, פרשת בראשית שער א)@11: "ת</w:t>
      </w:r>
      <w:r>
        <w:rPr>
          <w:rFonts w:hint="eastAsia"/>
          <w:color w:val="auto"/>
          <w:rtl/>
        </w:rPr>
        <w:t>נו</w:t>
      </w:r>
      <w:r>
        <w:rPr>
          <w:color w:val="auto"/>
          <w:rtl/>
        </w:rPr>
        <w:t xml:space="preserve"> ר</w:t>
      </w:r>
      <w:r>
        <w:rPr>
          <w:rFonts w:hint="eastAsia"/>
          <w:color w:val="auto"/>
          <w:rtl/>
        </w:rPr>
        <w:t>בנן</w:t>
      </w:r>
      <w:r>
        <w:rPr>
          <w:color w:val="auto"/>
          <w:rtl/>
        </w:rPr>
        <w:t xml:space="preserve"> 'אלמלא קול גלגל חמה נשמע קול המונה של כרך, ואלמלא קול המונה של כרך נשמע קול גלגל חמה'. ומפורסם הוא שאי אפשר להיות דברים אלו ככתבם, אבל קול גלגל חמה הוא ודאי כקול המונה של כרך. והכונה כי מפני שמלכות כרך בזמן ההוא היתה משתדלת בכל עוז להעביר ממשלתו יתברך מהעולם, ולהשכיח שמו וזכרו כמו שנודע מדורות השמדות, וכמו שאמר הכתוב @55(תהילים פג, </w:t>
      </w:r>
      <w:r>
        <w:rPr>
          <w:rFonts w:hint="eastAsia"/>
          <w:color w:val="auto"/>
          <w:rtl/>
        </w:rPr>
        <w:t>ו</w:t>
      </w:r>
      <w:r>
        <w:rPr>
          <w:color w:val="auto"/>
          <w:rtl/>
        </w:rPr>
        <w:t>)@11 'כי נועצו לב יחדיו וכו''. וזה במה שראו לבטל תורה ומצות אלהיות מהעולם, ולהמציא ולחדש אמונות נפסדות בהכחשת אלוה ממעל, כי רבו אז האפקורוסים, בהפך מה שיתפרסם אמתתו מצד אלו הנמצאות כמו שאמרנו. לזה אמר שאלמלא קול גלגל חמה שמנסר ברקיע ומשמיע באזני כל בעל שכל אמתת מציאותו ית', וכמו שאמרו ז"ל על 'וידעת היום והשבות אל לבבך וכו'', כי בתנועה היומית כדאי להכיר זה. וזו היתה המרגלית שהיתה תלויה בצוארו של אברהם וכו' וכמו שיבא היה ודאי נשמע קול המונה של כרך ונוצח לכל העולם ומהפכין אותו למינות. וכן אלמלא קול המונה של כרך שמבטלין ומפריעין אותם מהאמנת הדעות האמיתיות ואונסים אותם בכח הזרוע לקבל הנפסדות, לא היה אדם שלא היה משיג השגה זו בשלמות מקול גלגל חמה".</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5D611F-9D97-4C9F-AD1F-B7E9FB1D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120" w:line="276" w:lineRule="auto"/>
      <w:jc w:val="both"/>
    </w:pPr>
    <w:rPr>
      <w:rFonts w:ascii="Times New Roman" w:eastAsia="Times New Roman" w:hAnsi="Times New Roman" w:cs="David"/>
      <w:color w:val="000000"/>
      <w:sz w:val="26"/>
      <w:szCs w:val="26"/>
    </w:rPr>
  </w:style>
  <w:style w:type="paragraph" w:styleId="2">
    <w:name w:val="heading 2"/>
    <w:basedOn w:val="a"/>
    <w:next w:val="a"/>
    <w:link w:val="20"/>
    <w:uiPriority w:val="9"/>
    <w:qFormat/>
    <w:pPr>
      <w:keepNext/>
      <w:jc w:val="center"/>
      <w:outlineLvl w:val="1"/>
    </w:pPr>
    <w:rPr>
      <w:rFonts w:ascii="Arial" w:cstheme="majorBidi"/>
      <w:b/>
      <w:bCs/>
      <w:i/>
      <w:sz w:val="28"/>
      <w:szCs w:val="28"/>
      <w:lang w:eastAsia="he-IL"/>
    </w:rPr>
  </w:style>
  <w:style w:type="paragraph" w:styleId="3">
    <w:name w:val="heading 3"/>
    <w:basedOn w:val="a"/>
    <w:next w:val="a"/>
    <w:link w:val="30"/>
    <w:autoRedefine/>
    <w:uiPriority w:val="9"/>
    <w:qFormat/>
    <w:pPr>
      <w:keepNext/>
      <w:jc w:val="center"/>
      <w:outlineLvl w:val="2"/>
    </w:pPr>
    <w:rPr>
      <w:rFonts w:ascii="FrankRuehl" w:hAnsi="FrankRuehl" w:cs="FrankRuehl"/>
      <w:b/>
      <w:bCs/>
      <w:snapToGrid w:val="0"/>
      <w:color w:val="auto"/>
      <w:kern w:val="3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rPr>
      <w:rFonts w:ascii="Arial" w:eastAsia="Times New Roman" w:hAnsi="Times New Roman" w:cstheme="majorBidi"/>
      <w:b/>
      <w:bCs/>
      <w:i/>
      <w:color w:val="000000"/>
      <w:sz w:val="28"/>
      <w:szCs w:val="28"/>
      <w:lang w:eastAsia="he-IL"/>
    </w:rPr>
  </w:style>
  <w:style w:type="character" w:customStyle="1" w:styleId="30">
    <w:name w:val="כותרת 3 תו"/>
    <w:basedOn w:val="a0"/>
    <w:link w:val="3"/>
    <w:uiPriority w:val="9"/>
    <w:rPr>
      <w:rFonts w:ascii="FrankRuehl" w:eastAsia="Times New Roman" w:hAnsi="FrankRuehl" w:cs="FrankRuehl"/>
      <w:b/>
      <w:bCs/>
      <w:snapToGrid w:val="0"/>
      <w:kern w:val="32"/>
      <w:sz w:val="26"/>
      <w:szCs w:val="26"/>
      <w:lang w:eastAsia="he-IL"/>
    </w:rPr>
  </w:style>
  <w:style w:type="character" w:styleId="a3">
    <w:name w:val="footnote reference"/>
    <w:uiPriority w:val="99"/>
    <w:qFormat/>
    <w:rPr>
      <w:rFonts w:cs="Times New Roman"/>
      <w:vertAlign w:val="superscript"/>
    </w:rPr>
  </w:style>
  <w:style w:type="character" w:styleId="a4">
    <w:name w:val="annotation reference"/>
    <w:uiPriority w:val="99"/>
    <w:rPr>
      <w:rFonts w:cs="Times New Roman"/>
      <w:sz w:val="16"/>
      <w:szCs w:val="16"/>
    </w:rPr>
  </w:style>
  <w:style w:type="paragraph" w:styleId="a5">
    <w:name w:val="annotation text"/>
    <w:basedOn w:val="a"/>
    <w:link w:val="a6"/>
    <w:uiPriority w:val="99"/>
    <w:rPr>
      <w:sz w:val="20"/>
      <w:szCs w:val="20"/>
      <w:lang w:eastAsia="he-IL"/>
    </w:rPr>
  </w:style>
  <w:style w:type="character" w:customStyle="1" w:styleId="a6">
    <w:name w:val="טקסט הערה תו"/>
    <w:basedOn w:val="a0"/>
    <w:link w:val="a5"/>
    <w:uiPriority w:val="99"/>
    <w:rPr>
      <w:rFonts w:ascii="Times New Roman" w:eastAsia="Times New Roman" w:hAnsi="Times New Roman" w:cs="David"/>
      <w:color w:val="000000"/>
      <w:sz w:val="20"/>
      <w:szCs w:val="20"/>
      <w:lang w:eastAsia="he-IL"/>
    </w:rPr>
  </w:style>
  <w:style w:type="paragraph" w:customStyle="1" w:styleId="a7">
    <w:name w:val="פיסקה ראשונה"/>
    <w:basedOn w:val="a"/>
    <w:link w:val="a8"/>
    <w:qFormat/>
    <w:pPr>
      <w:jc w:val="center"/>
    </w:pPr>
    <w:rPr>
      <w:b/>
      <w:bCs/>
      <w:lang w:eastAsia="he-IL"/>
    </w:rPr>
  </w:style>
  <w:style w:type="character" w:customStyle="1" w:styleId="a8">
    <w:name w:val="פיסקה ראשונה תו"/>
    <w:basedOn w:val="20"/>
    <w:link w:val="a7"/>
    <w:rPr>
      <w:rFonts w:ascii="Times New Roman" w:eastAsia="Times New Roman" w:hAnsi="Times New Roman" w:cs="David"/>
      <w:b/>
      <w:bCs/>
      <w:i w:val="0"/>
      <w:color w:val="000000"/>
      <w:sz w:val="26"/>
      <w:szCs w:val="26"/>
      <w:lang w:eastAsia="he-IL"/>
    </w:rPr>
  </w:style>
  <w:style w:type="paragraph" w:customStyle="1" w:styleId="a9">
    <w:name w:val="כותרת צד"/>
    <w:basedOn w:val="a"/>
    <w:link w:val="aa"/>
    <w:qFormat/>
    <w:pPr>
      <w:ind w:left="170" w:right="170"/>
      <w:jc w:val="left"/>
    </w:pPr>
    <w:rPr>
      <w:sz w:val="22"/>
      <w:szCs w:val="22"/>
    </w:rPr>
  </w:style>
  <w:style w:type="character" w:customStyle="1" w:styleId="aa">
    <w:name w:val="כותרת צד תו"/>
    <w:basedOn w:val="a0"/>
    <w:link w:val="a9"/>
    <w:rPr>
      <w:rFonts w:ascii="Times New Roman" w:eastAsia="Times New Roman" w:hAnsi="Times New Roman" w:cs="David"/>
      <w:color w:val="000000"/>
    </w:rPr>
  </w:style>
  <w:style w:type="paragraph" w:customStyle="1" w:styleId="ab">
    <w:name w:val="הערת שוליים"/>
    <w:basedOn w:val="ac"/>
    <w:qFormat/>
    <w:pPr>
      <w:spacing w:after="60" w:line="276" w:lineRule="auto"/>
    </w:pPr>
    <w:rPr>
      <w:lang w:eastAsia="he-IL"/>
    </w:rPr>
  </w:style>
  <w:style w:type="paragraph" w:styleId="ac">
    <w:name w:val="footnote text"/>
    <w:basedOn w:val="a"/>
    <w:link w:val="ad"/>
    <w:uiPriority w:val="99"/>
    <w:semiHidden/>
    <w:unhideWhenUsed/>
    <w:pPr>
      <w:spacing w:after="0" w:line="240" w:lineRule="auto"/>
    </w:pPr>
    <w:rPr>
      <w:sz w:val="20"/>
      <w:szCs w:val="20"/>
    </w:rPr>
  </w:style>
  <w:style w:type="character" w:customStyle="1" w:styleId="ad">
    <w:name w:val="טקסט הערת שוליים תו"/>
    <w:basedOn w:val="a0"/>
    <w:link w:val="ac"/>
    <w:uiPriority w:val="99"/>
    <w:semiHidden/>
    <w:rPr>
      <w:rFonts w:ascii="Times New Roman" w:eastAsia="Times New Roman" w:hAnsi="Times New Roman" w:cs="David"/>
      <w:color w:val="000000"/>
      <w:sz w:val="20"/>
      <w:szCs w:val="20"/>
    </w:rPr>
  </w:style>
  <w:style w:type="paragraph" w:styleId="ae">
    <w:name w:val="Balloon Text"/>
    <w:basedOn w:val="a"/>
    <w:link w:val="af"/>
    <w:uiPriority w:val="99"/>
    <w:semiHidden/>
    <w:unhideWhenUsed/>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Pr>
      <w:rFonts w:ascii="Tahoma" w:eastAsia="Times New Roman" w:hAnsi="Tahoma" w:cs="Tahom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2575</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2022-11-20T08:53:00Z</dcterms:created>
  <dcterms:modified xsi:type="dcterms:W3CDTF">2022-11-20T08:53:00Z</dcterms:modified>
</cp:coreProperties>
</file>