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135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FFFF"/>
          <w:sz w:val="24"/>
          <w:szCs w:val="24"/>
          <w:rtl/>
        </w:rPr>
        <w:t xml:space="preserve"> </w:t>
      </w:r>
      <w:r>
        <w:rPr>
          <w:rFonts w:ascii="David" w:hAnsi="David" w:cs="David"/>
          <w:color w:val="800000"/>
          <w:sz w:val="24"/>
          <w:szCs w:val="24"/>
          <w:rtl/>
        </w:rPr>
        <w:t>מי חטאת.</w:t>
      </w:r>
      <w:r>
        <w:rPr>
          <w:rFonts w:ascii="David" w:hAnsi="David" w:cs="David"/>
          <w:color w:val="000000"/>
          <w:sz w:val="24"/>
          <w:szCs w:val="24"/>
          <w:rtl/>
        </w:rPr>
        <w:t xml:space="preserve"> מים שנותנים בהם אפר פרה-אדומה*, להזות מהם על טמא-מת*. </w:t>
      </w:r>
    </w:p>
    <w:p w14:paraId="419D096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הפרקים:</w:t>
      </w:r>
    </w:p>
    <w:p w14:paraId="407F963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 המים;</w:t>
      </w:r>
    </w:p>
    <w:p w14:paraId="79B3240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 המילוי;</w:t>
      </w:r>
    </w:p>
    <w:p w14:paraId="687A358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ג. הקידוש;</w:t>
      </w:r>
    </w:p>
    <w:p w14:paraId="33634D3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ד. פסולם על ידי תערובת;</w:t>
      </w:r>
    </w:p>
    <w:p w14:paraId="0396D98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 פסולם מחמת טומאה;</w:t>
      </w:r>
    </w:p>
    <w:p w14:paraId="4D24DF7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ו. לטמא אחרים;</w:t>
      </w:r>
    </w:p>
    <w:p w14:paraId="1A9EECD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ז. כשנפסלו;</w:t>
      </w:r>
    </w:p>
    <w:p w14:paraId="5DF0EEE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ח. לטהרת השורף את הפרה. </w:t>
      </w:r>
    </w:p>
    <w:p w14:paraId="7F0A55A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 המים</w:t>
      </w:r>
    </w:p>
    <w:p w14:paraId="4A85E9C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חיים / שיש להם שם לווי / שימור / זמן השימור / עשיית מלאכה אחרת / מלאכה במים / שאינם בכלי / שנראו ונדחו / נעשית מצותם / טבילת כלי שיש בו מי חטאת /  למעלות</w:t>
      </w:r>
    </w:p>
    <w:p w14:paraId="0E662A9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 המילוי</w:t>
      </w:r>
    </w:p>
    <w:p w14:paraId="007DD98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מהותו / החשוב מילוי / כחלק מהקידוש / קודם שריפת הפרה / בלילה / הכשרים למילוי / חרש שוטה וקטן / טמא וערל / בכלי / חציצה / חיותם בכלי / מכלי לכלי / לאותו כלי  / אופנים שיכול לערות לד"ה / כשהעבירו לכלי שאין ראוי למילוי / כח הממלא / מילוי ביד / הווייתם על ידי טהרה / כוונת המילוי / אופנים שאינו לשמה / כוונה קודם המילוי /  כוונה בשאר פעולות המילוי / בממלא מכלי לכלי / נמלך / במי טבילה / בשכר</w:t>
      </w:r>
    </w:p>
    <w:p w14:paraId="770DBEC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ג. הקידוש</w:t>
      </w:r>
    </w:p>
    <w:p w14:paraId="655C590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מהותו / הקדים אפר למים / הטעם / שיעור המים / בכלי / שיעור האפר / לקיחת האפר / מכח אדם / הנתינה / כוונת הקידוש / נתן אחד מים ואחד אפר / חציצה / עירוב האפר במים / הכשרים לקידוש / חרש שוטה וקטן / טמא / ערל / נעילת סנדל / קידוש במי חטאת / באפר שקידשו בו / כשנתערב במים ולא קידש / בשכר / קידוש מים בלועים</w:t>
      </w:r>
    </w:p>
    <w:p w14:paraId="22D0D95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ד. פסולם על ידי תערובת</w:t>
      </w:r>
    </w:p>
    <w:p w14:paraId="412E5FA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במים שנתמלאו לקידוש / במים המקודשים / קידוש תערובת / לחלוחית שבכלי / קרויה שבלעה / במים הראויים לקידוש / מילוי מים המקודשים / תערובת דבר אחר במים /  שינוי מראה / נפלו לתוכם שקצים / שתיית בעלי חיים / בספק / שתיית בני אדם / מגע בלא תערובת / תערובת מקודשים במקודשים</w:t>
      </w:r>
    </w:p>
    <w:p w14:paraId="2B18785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 פסולם מחמת טומאה</w:t>
      </w:r>
    </w:p>
    <w:p w14:paraId="64CD5FF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שנטמאו / צלוחית שהניחה מגולה / קרויה שנטמאה / שנטמאו בטומאת מת / נטמאו קודם הקידוש / מקום טמא / בקלוט / העברתם בנהר / לדעת ר' אלעזר / בשאר דברים הטהורים לחטאת / המטמאים את המים / במחוברים על ידי השקה</w:t>
      </w:r>
    </w:p>
    <w:p w14:paraId="35E6A58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ו. לטמא אחרים</w:t>
      </w:r>
    </w:p>
    <w:p w14:paraId="6C69D58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טומאתם / אופני הטומאה / שיעור המים המטמאים / דרגות הטומאה / לחטאת / מי שהיזו עליו / שלא לצורך כלל, וטמא דרבנן / המזה ולצורך הזאה / בהזאה על טהור ובלילה / לטהור לחטאת / על ידי השקה</w:t>
      </w:r>
    </w:p>
    <w:p w14:paraId="3330BA6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ז. כשנפסלו</w:t>
      </w:r>
    </w:p>
    <w:p w14:paraId="6F6C346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טומאתם כשנפסלו / מקור טומאתם / בפסולים שונים / כשקרשו / מהות טומאתם / מים הפסולים מדרבנן / טמא שנגע במים טהורים / מים פסולים שנתנו בהם אפר / לטמא טומאת משקים / בתערובת מים פסולים / שגיבלם בטיט / ברוב טיט / שנעשית מצותם / החשוב שנעשתה מצותו / כשהיזו מהם בלילה ועל טהור</w:t>
      </w:r>
    </w:p>
    <w:p w14:paraId="2523EAC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 לטהרת השורף את הפרה</w:t>
      </w:r>
    </w:p>
    <w:p w14:paraId="6DF1A79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התינוקות / המילוי / הקידוש </w:t>
      </w:r>
    </w:p>
    <w:p w14:paraId="6AB6E52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שניתן בהם אפר פרה-אדומה*, הם הנקראים מי חטאת, ומים מקודשים, והם שקראם הכתוב: מי נדה</w:t>
      </w:r>
      <w:r>
        <w:rPr>
          <w:rFonts w:ascii="David" w:hAnsi="David" w:cs="David"/>
          <w:color w:val="0000FF"/>
          <w:sz w:val="24"/>
          <w:szCs w:val="24"/>
          <w:vertAlign w:val="superscript"/>
          <w:rtl/>
        </w:rPr>
        <w:footnoteReference w:customMarkFollows="1" w:id="1"/>
        <w:t>1</w:t>
      </w:r>
      <w:r>
        <w:rPr>
          <w:rFonts w:ascii="David" w:hAnsi="David" w:cs="David"/>
          <w:color w:val="000000"/>
          <w:sz w:val="24"/>
          <w:szCs w:val="24"/>
          <w:rtl/>
        </w:rPr>
        <w:t>, ומהם מזים על טמא-מת*, שנאמר: ולקחו לטמא מעפר שריפת החטאת ונתן עליו מים חיים אל כלי, ולקח אזוב וטבל במים איש טהור והזה על האהל ועל כל הכלים וגו'</w:t>
      </w:r>
      <w:r>
        <w:rPr>
          <w:rFonts w:ascii="David" w:hAnsi="David" w:cs="David"/>
          <w:color w:val="0000FF"/>
          <w:sz w:val="24"/>
          <w:szCs w:val="24"/>
          <w:vertAlign w:val="superscript"/>
          <w:rtl/>
        </w:rPr>
        <w:footnoteReference w:customMarkFollows="1" w:id="2"/>
        <w:t>2</w:t>
      </w:r>
      <w:r>
        <w:rPr>
          <w:rFonts w:ascii="David" w:hAnsi="David" w:cs="David"/>
          <w:color w:val="000000"/>
          <w:sz w:val="24"/>
          <w:szCs w:val="24"/>
          <w:rtl/>
        </w:rPr>
        <w:t>. ונקראים בלשון המשנה "מי חטאת" אף קודם נתינת האפר בהם</w:t>
      </w:r>
      <w:r>
        <w:rPr>
          <w:rFonts w:ascii="David" w:hAnsi="David" w:cs="David"/>
          <w:color w:val="0000FF"/>
          <w:sz w:val="24"/>
          <w:szCs w:val="24"/>
          <w:vertAlign w:val="superscript"/>
          <w:rtl/>
        </w:rPr>
        <w:footnoteReference w:customMarkFollows="1" w:id="3"/>
        <w:t>3</w:t>
      </w:r>
      <w:r>
        <w:rPr>
          <w:rFonts w:ascii="David" w:hAnsi="David" w:cs="David"/>
          <w:color w:val="000000"/>
          <w:sz w:val="24"/>
          <w:szCs w:val="24"/>
          <w:rtl/>
        </w:rPr>
        <w:t>, לפי שכבר הוכנו למי חטאת</w:t>
      </w:r>
      <w:r>
        <w:rPr>
          <w:rFonts w:ascii="David" w:hAnsi="David" w:cs="David"/>
          <w:color w:val="0000FF"/>
          <w:sz w:val="24"/>
          <w:szCs w:val="24"/>
          <w:vertAlign w:val="superscript"/>
          <w:rtl/>
        </w:rPr>
        <w:footnoteReference w:customMarkFollows="1" w:id="4"/>
        <w:t>4</w:t>
      </w:r>
      <w:r>
        <w:rPr>
          <w:rFonts w:ascii="David" w:hAnsi="David" w:cs="David"/>
          <w:color w:val="000000"/>
          <w:sz w:val="24"/>
          <w:szCs w:val="24"/>
          <w:rtl/>
        </w:rPr>
        <w:t xml:space="preserve">. </w:t>
      </w:r>
    </w:p>
    <w:p w14:paraId="0582FED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הערך שלפנינו דן על צורת הכנת מי החטאת, ועל כך, עי' להלן: המים; המילוי; הקידוש; לטהרת השורף את הפרה, וכן על דיני המים, ועל כך, עי' להלן: המים, ועל הדברים הפוסלים אותם, בין קודם נתינת האפר ובין לאחריו, ועל כך, עי' להלן: המים; פסולם על ידי תערובת; פסולם מחמת טומאה, וכן על טומאת מי חטאת לטמא </w:t>
      </w:r>
    </w:p>
    <w:p w14:paraId="0D772B8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אחרים, ועל דינם לאחר שנפסלו, ועל כך, עי' להלן: לטמא אחרים; כשנפסלו. </w:t>
      </w:r>
    </w:p>
    <w:p w14:paraId="2FCD1D4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הכנת אפר הפרה ודיניו, ע"ע אפר חטאת, על ההזאה שמזים ממי החטאת על הטמא, ע"ע הזאה (ב)</w:t>
      </w:r>
      <w:r>
        <w:rPr>
          <w:rFonts w:ascii="David" w:hAnsi="David" w:cs="David"/>
          <w:color w:val="0000FF"/>
          <w:sz w:val="24"/>
          <w:szCs w:val="24"/>
          <w:vertAlign w:val="superscript"/>
          <w:rtl/>
        </w:rPr>
        <w:footnoteReference w:customMarkFollows="1" w:id="5"/>
        <w:t>5</w:t>
      </w:r>
      <w:r>
        <w:rPr>
          <w:rFonts w:ascii="David" w:hAnsi="David" w:cs="David"/>
          <w:color w:val="000000"/>
          <w:sz w:val="24"/>
          <w:szCs w:val="24"/>
          <w:rtl/>
        </w:rPr>
        <w:t xml:space="preserve">, על שאר מעשי הפרה, ע"ע פרה אדומה. </w:t>
      </w:r>
    </w:p>
    <w:p w14:paraId="6AE8FAB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[מים חיים]</w:t>
      </w:r>
    </w:p>
    <w:p w14:paraId="06E73B1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א. המים.</w:t>
      </w:r>
      <w:r>
        <w:rPr>
          <w:rFonts w:ascii="David" w:hAnsi="David" w:cs="David"/>
          <w:color w:val="000000"/>
          <w:sz w:val="24"/>
          <w:szCs w:val="24"/>
          <w:rtl/>
        </w:rPr>
        <w:t xml:space="preserve"> אין כשרים למי חטאת אלא מים-חיים*</w:t>
      </w:r>
      <w:r>
        <w:rPr>
          <w:rFonts w:ascii="David" w:hAnsi="David" w:cs="David"/>
          <w:color w:val="0000FF"/>
          <w:sz w:val="24"/>
          <w:szCs w:val="24"/>
          <w:vertAlign w:val="superscript"/>
          <w:rtl/>
        </w:rPr>
        <w:footnoteReference w:customMarkFollows="1" w:id="6"/>
        <w:t>6</w:t>
      </w:r>
      <w:r>
        <w:rPr>
          <w:rFonts w:ascii="David" w:hAnsi="David" w:cs="David"/>
          <w:color w:val="000000"/>
          <w:sz w:val="24"/>
          <w:szCs w:val="24"/>
          <w:rtl/>
        </w:rPr>
        <w:t>, הניטלים מן המעין*</w:t>
      </w:r>
      <w:r>
        <w:rPr>
          <w:rFonts w:ascii="David" w:hAnsi="David" w:cs="David"/>
          <w:color w:val="0000FF"/>
          <w:sz w:val="24"/>
          <w:szCs w:val="24"/>
          <w:vertAlign w:val="superscript"/>
          <w:rtl/>
        </w:rPr>
        <w:footnoteReference w:customMarkFollows="1" w:id="7"/>
        <w:t>7</w:t>
      </w:r>
      <w:r>
        <w:rPr>
          <w:rFonts w:ascii="David" w:hAnsi="David" w:cs="David"/>
          <w:color w:val="000000"/>
          <w:sz w:val="24"/>
          <w:szCs w:val="24"/>
          <w:rtl/>
        </w:rPr>
        <w:t xml:space="preserve"> - שהם מתנענעים ומתפשטים תמיד, ולכן נקראו חיים, ולא כמי בור ומקוה, העומדים כמתים בלתי תנועה</w:t>
      </w:r>
      <w:r>
        <w:rPr>
          <w:rFonts w:ascii="David" w:hAnsi="David" w:cs="David"/>
          <w:color w:val="0000FF"/>
          <w:sz w:val="24"/>
          <w:szCs w:val="24"/>
          <w:vertAlign w:val="superscript"/>
          <w:rtl/>
        </w:rPr>
        <w:footnoteReference w:customMarkFollows="1" w:id="8"/>
        <w:t>8</w:t>
      </w:r>
      <w:r>
        <w:rPr>
          <w:rFonts w:ascii="David" w:hAnsi="David" w:cs="David"/>
          <w:color w:val="000000"/>
          <w:sz w:val="24"/>
          <w:szCs w:val="24"/>
          <w:rtl/>
        </w:rPr>
        <w:t xml:space="preserve"> - או מן הנהרות המושכים מהמעיינות</w:t>
      </w:r>
      <w:r>
        <w:rPr>
          <w:rFonts w:ascii="David" w:hAnsi="David" w:cs="David"/>
          <w:color w:val="0000FF"/>
          <w:sz w:val="24"/>
          <w:szCs w:val="24"/>
          <w:vertAlign w:val="superscript"/>
          <w:rtl/>
        </w:rPr>
        <w:footnoteReference w:customMarkFollows="1" w:id="9"/>
        <w:t>9</w:t>
      </w:r>
      <w:r>
        <w:rPr>
          <w:rFonts w:ascii="David" w:hAnsi="David" w:cs="David"/>
          <w:color w:val="000000"/>
          <w:sz w:val="24"/>
          <w:szCs w:val="24"/>
          <w:rtl/>
        </w:rPr>
        <w:t>, שנאמר: ונתן עליו מים חיים אל כלי</w:t>
      </w:r>
      <w:r>
        <w:rPr>
          <w:rFonts w:ascii="David" w:hAnsi="David" w:cs="David"/>
          <w:color w:val="0000FF"/>
          <w:sz w:val="24"/>
          <w:szCs w:val="24"/>
          <w:vertAlign w:val="superscript"/>
          <w:rtl/>
        </w:rPr>
        <w:footnoteReference w:customMarkFollows="1" w:id="10"/>
        <w:t>10</w:t>
      </w:r>
      <w:r>
        <w:rPr>
          <w:rFonts w:ascii="David" w:hAnsi="David" w:cs="David"/>
          <w:color w:val="000000"/>
          <w:sz w:val="24"/>
          <w:szCs w:val="24"/>
          <w:rtl/>
        </w:rPr>
        <w:t>. על החשובים מים חיים, ועל אופן שאיבתם מן המעיין, שלא יתבטל על ידו שם מים חיים, ועל מים שנשתנו, שפעמים מחמת השינוי אינם חשובים מים חיים, ע"ע מים חיים</w:t>
      </w:r>
      <w:r>
        <w:rPr>
          <w:rFonts w:ascii="David" w:hAnsi="David" w:cs="David"/>
          <w:color w:val="0000FF"/>
          <w:sz w:val="24"/>
          <w:szCs w:val="24"/>
          <w:vertAlign w:val="superscript"/>
          <w:rtl/>
        </w:rPr>
        <w:footnoteReference w:customMarkFollows="1" w:id="11"/>
        <w:t>11</w:t>
      </w:r>
      <w:r>
        <w:rPr>
          <w:rFonts w:ascii="David" w:hAnsi="David" w:cs="David"/>
          <w:color w:val="000000"/>
          <w:sz w:val="24"/>
          <w:szCs w:val="24"/>
          <w:rtl/>
        </w:rPr>
        <w:t xml:space="preserve">. </w:t>
      </w:r>
    </w:p>
    <w:p w14:paraId="6FD2978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[שיש להם שם לווי]</w:t>
      </w:r>
    </w:p>
    <w:p w14:paraId="7D0BFC6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שיש להם שם לווי, יש מן הראשונים שצידדו לומר שהם פסולים למי חטאת</w:t>
      </w:r>
      <w:r>
        <w:rPr>
          <w:rFonts w:ascii="David" w:hAnsi="David" w:cs="David"/>
          <w:color w:val="0000FF"/>
          <w:sz w:val="24"/>
          <w:szCs w:val="24"/>
          <w:vertAlign w:val="superscript"/>
          <w:rtl/>
        </w:rPr>
        <w:footnoteReference w:customMarkFollows="1" w:id="12"/>
        <w:t>12</w:t>
      </w:r>
      <w:r>
        <w:rPr>
          <w:rFonts w:ascii="David" w:hAnsi="David" w:cs="David"/>
          <w:color w:val="000000"/>
          <w:sz w:val="24"/>
          <w:szCs w:val="24"/>
          <w:rtl/>
        </w:rPr>
        <w:t>, לפי שאמרה תורה: מים</w:t>
      </w:r>
      <w:r>
        <w:rPr>
          <w:rFonts w:ascii="David" w:hAnsi="David" w:cs="David"/>
          <w:color w:val="0000FF"/>
          <w:sz w:val="24"/>
          <w:szCs w:val="24"/>
          <w:vertAlign w:val="superscript"/>
          <w:rtl/>
        </w:rPr>
        <w:footnoteReference w:customMarkFollows="1" w:id="13"/>
        <w:t>13</w:t>
      </w:r>
      <w:r>
        <w:rPr>
          <w:rFonts w:ascii="David" w:hAnsi="David" w:cs="David"/>
          <w:color w:val="000000"/>
          <w:sz w:val="24"/>
          <w:szCs w:val="24"/>
          <w:rtl/>
        </w:rPr>
        <w:t>, והיינו "מים" סתם, שאין להם שם אחר, ולא כשנוסף להם שם המודיע שהם מין השונה מאותו המין שהזכירה תורה</w:t>
      </w:r>
      <w:r>
        <w:rPr>
          <w:rFonts w:ascii="David" w:hAnsi="David" w:cs="David"/>
          <w:color w:val="0000FF"/>
          <w:sz w:val="24"/>
          <w:szCs w:val="24"/>
          <w:vertAlign w:val="superscript"/>
          <w:rtl/>
        </w:rPr>
        <w:footnoteReference w:customMarkFollows="1" w:id="14"/>
        <w:t>14</w:t>
      </w:r>
      <w:r>
        <w:rPr>
          <w:rFonts w:ascii="David" w:hAnsi="David" w:cs="David"/>
          <w:color w:val="000000"/>
          <w:sz w:val="24"/>
          <w:szCs w:val="24"/>
          <w:rtl/>
        </w:rPr>
        <w:t>, שכן מצינו ששנה תנא דבי שמואל - לענין הדחת הקרביים שבקרבנות*</w:t>
      </w:r>
      <w:r>
        <w:rPr>
          <w:rFonts w:ascii="David" w:hAnsi="David" w:cs="David"/>
          <w:color w:val="0000FF"/>
          <w:sz w:val="24"/>
          <w:szCs w:val="24"/>
          <w:vertAlign w:val="superscript"/>
          <w:rtl/>
        </w:rPr>
        <w:footnoteReference w:customMarkFollows="1" w:id="15"/>
        <w:t>15</w:t>
      </w:r>
      <w:r>
        <w:rPr>
          <w:rFonts w:ascii="David" w:hAnsi="David" w:cs="David"/>
          <w:color w:val="000000"/>
          <w:sz w:val="24"/>
          <w:szCs w:val="24"/>
          <w:rtl/>
        </w:rPr>
        <w:t xml:space="preserve"> - במים</w:t>
      </w:r>
      <w:r>
        <w:rPr>
          <w:rFonts w:ascii="David" w:hAnsi="David" w:cs="David"/>
          <w:color w:val="0000FF"/>
          <w:sz w:val="24"/>
          <w:szCs w:val="24"/>
          <w:vertAlign w:val="superscript"/>
          <w:rtl/>
        </w:rPr>
        <w:footnoteReference w:customMarkFollows="1" w:id="16"/>
        <w:t>16</w:t>
      </w:r>
      <w:r>
        <w:rPr>
          <w:rFonts w:ascii="David" w:hAnsi="David" w:cs="David"/>
          <w:color w:val="000000"/>
          <w:sz w:val="24"/>
          <w:szCs w:val="24"/>
          <w:rtl/>
        </w:rPr>
        <w:t>, שאין להם שם לווי, יצאו מי כיור* שיש להם שם לווי</w:t>
      </w:r>
      <w:r>
        <w:rPr>
          <w:rFonts w:ascii="David" w:hAnsi="David" w:cs="David"/>
          <w:color w:val="0000FF"/>
          <w:sz w:val="24"/>
          <w:szCs w:val="24"/>
          <w:vertAlign w:val="superscript"/>
          <w:rtl/>
        </w:rPr>
        <w:footnoteReference w:customMarkFollows="1" w:id="17"/>
        <w:t>17</w:t>
      </w:r>
      <w:r>
        <w:rPr>
          <w:rFonts w:ascii="David" w:hAnsi="David" w:cs="David"/>
          <w:color w:val="000000"/>
          <w:sz w:val="24"/>
          <w:szCs w:val="24"/>
          <w:rtl/>
        </w:rPr>
        <w:t>. וצידדו לומר, שמטעם זה שנינו, שהמים המלוחים והפושרים - היינו חמים</w:t>
      </w:r>
      <w:r>
        <w:rPr>
          <w:rFonts w:ascii="David" w:hAnsi="David" w:cs="David"/>
          <w:color w:val="0000FF"/>
          <w:sz w:val="24"/>
          <w:szCs w:val="24"/>
          <w:vertAlign w:val="superscript"/>
          <w:rtl/>
        </w:rPr>
        <w:footnoteReference w:customMarkFollows="1" w:id="18"/>
        <w:t>18</w:t>
      </w:r>
      <w:r>
        <w:rPr>
          <w:rFonts w:ascii="David" w:hAnsi="David" w:cs="David"/>
          <w:color w:val="000000"/>
          <w:sz w:val="24"/>
          <w:szCs w:val="24"/>
          <w:rtl/>
        </w:rPr>
        <w:t xml:space="preserve"> - פסולים למי חטאת</w:t>
      </w:r>
      <w:r>
        <w:rPr>
          <w:rFonts w:ascii="David" w:hAnsi="David" w:cs="David"/>
          <w:color w:val="0000FF"/>
          <w:sz w:val="24"/>
          <w:szCs w:val="24"/>
          <w:vertAlign w:val="superscript"/>
          <w:rtl/>
        </w:rPr>
        <w:footnoteReference w:customMarkFollows="1" w:id="19"/>
        <w:t>19</w:t>
      </w:r>
      <w:r>
        <w:rPr>
          <w:rFonts w:ascii="David" w:hAnsi="David" w:cs="David"/>
          <w:color w:val="000000"/>
          <w:sz w:val="24"/>
          <w:szCs w:val="24"/>
          <w:rtl/>
        </w:rPr>
        <w:t>, שיש להם שם לווי</w:t>
      </w:r>
      <w:r>
        <w:rPr>
          <w:rFonts w:ascii="David" w:hAnsi="David" w:cs="David"/>
          <w:color w:val="0000FF"/>
          <w:sz w:val="24"/>
          <w:szCs w:val="24"/>
          <w:vertAlign w:val="superscript"/>
          <w:rtl/>
        </w:rPr>
        <w:footnoteReference w:customMarkFollows="1" w:id="20"/>
        <w:t>20</w:t>
      </w:r>
      <w:r>
        <w:rPr>
          <w:rFonts w:ascii="David" w:hAnsi="David" w:cs="David"/>
          <w:color w:val="000000"/>
          <w:sz w:val="24"/>
          <w:szCs w:val="24"/>
          <w:rtl/>
        </w:rPr>
        <w:t>. על הסוברים שפסול מים מלוחים ופושרים אינו משום שיש להם שם לווי, אלא מפני שאינם קרואים מים-חיים*, ע"ע הזאה (ב)</w:t>
      </w:r>
      <w:r>
        <w:rPr>
          <w:rFonts w:ascii="David" w:hAnsi="David" w:cs="David"/>
          <w:color w:val="0000FF"/>
          <w:sz w:val="24"/>
          <w:szCs w:val="24"/>
          <w:vertAlign w:val="superscript"/>
          <w:rtl/>
        </w:rPr>
        <w:footnoteReference w:customMarkFollows="1" w:id="21"/>
        <w:t>21</w:t>
      </w:r>
      <w:r>
        <w:rPr>
          <w:rFonts w:ascii="David" w:hAnsi="David" w:cs="David"/>
          <w:color w:val="000000"/>
          <w:sz w:val="24"/>
          <w:szCs w:val="24"/>
          <w:rtl/>
        </w:rPr>
        <w:t>, וע' חמי טבריה</w:t>
      </w:r>
      <w:r>
        <w:rPr>
          <w:rFonts w:ascii="David" w:hAnsi="David" w:cs="David"/>
          <w:color w:val="0000FF"/>
          <w:sz w:val="24"/>
          <w:szCs w:val="24"/>
          <w:vertAlign w:val="superscript"/>
          <w:rtl/>
        </w:rPr>
        <w:footnoteReference w:customMarkFollows="1" w:id="22"/>
        <w:t>22</w:t>
      </w:r>
      <w:r>
        <w:rPr>
          <w:rFonts w:ascii="David" w:hAnsi="David" w:cs="David"/>
          <w:color w:val="000000"/>
          <w:sz w:val="24"/>
          <w:szCs w:val="24"/>
          <w:rtl/>
        </w:rPr>
        <w:t>, וע' מים חיים. וכן יש מן האחרונים שכתבו, שזו ששנינו, מי ביצים - לשון ביצה</w:t>
      </w:r>
      <w:r>
        <w:rPr>
          <w:rFonts w:ascii="David" w:hAnsi="David" w:cs="David"/>
          <w:color w:val="0000FF"/>
          <w:sz w:val="24"/>
          <w:szCs w:val="24"/>
          <w:vertAlign w:val="superscript"/>
          <w:rtl/>
        </w:rPr>
        <w:footnoteReference w:customMarkFollows="1" w:id="23"/>
        <w:t>23</w:t>
      </w:r>
      <w:r>
        <w:rPr>
          <w:rFonts w:ascii="David" w:hAnsi="David" w:cs="David"/>
          <w:color w:val="000000"/>
          <w:sz w:val="24"/>
          <w:szCs w:val="24"/>
          <w:rtl/>
        </w:rPr>
        <w:t xml:space="preserve"> - ומי תערובות - מים כשרים ופסולים שנתערבו</w:t>
      </w:r>
      <w:r>
        <w:rPr>
          <w:rFonts w:ascii="David" w:hAnsi="David" w:cs="David"/>
          <w:color w:val="0000FF"/>
          <w:sz w:val="24"/>
          <w:szCs w:val="24"/>
          <w:vertAlign w:val="superscript"/>
          <w:rtl/>
        </w:rPr>
        <w:footnoteReference w:customMarkFollows="1" w:id="24"/>
        <w:t>24</w:t>
      </w:r>
      <w:r>
        <w:rPr>
          <w:rFonts w:ascii="David" w:hAnsi="David" w:cs="David"/>
          <w:color w:val="000000"/>
          <w:sz w:val="24"/>
          <w:szCs w:val="24"/>
          <w:rtl/>
        </w:rPr>
        <w:t xml:space="preserve"> - פסולים למי חטאת</w:t>
      </w:r>
      <w:r>
        <w:rPr>
          <w:rFonts w:ascii="David" w:hAnsi="David" w:cs="David"/>
          <w:color w:val="0000FF"/>
          <w:sz w:val="24"/>
          <w:szCs w:val="24"/>
          <w:vertAlign w:val="superscript"/>
          <w:rtl/>
        </w:rPr>
        <w:footnoteReference w:customMarkFollows="1" w:id="25"/>
        <w:t>25</w:t>
      </w:r>
      <w:r>
        <w:rPr>
          <w:rFonts w:ascii="David" w:hAnsi="David" w:cs="David"/>
          <w:color w:val="000000"/>
          <w:sz w:val="24"/>
          <w:szCs w:val="24"/>
          <w:rtl/>
        </w:rPr>
        <w:t>, היינו מפני שיש להם שם לווי</w:t>
      </w:r>
      <w:r>
        <w:rPr>
          <w:rFonts w:ascii="David" w:hAnsi="David" w:cs="David"/>
          <w:color w:val="0000FF"/>
          <w:sz w:val="24"/>
          <w:szCs w:val="24"/>
          <w:vertAlign w:val="superscript"/>
          <w:rtl/>
        </w:rPr>
        <w:footnoteReference w:customMarkFollows="1" w:id="26"/>
        <w:t>26</w:t>
      </w:r>
      <w:r>
        <w:rPr>
          <w:rFonts w:ascii="David" w:hAnsi="David" w:cs="David"/>
          <w:color w:val="000000"/>
          <w:sz w:val="24"/>
          <w:szCs w:val="24"/>
          <w:rtl/>
        </w:rPr>
        <w:t>. על הסוברים שאינם פסולים מחמת שיש להם שם לווי, אלא מטעמים אחרים, עי' להלן: המילוי</w:t>
      </w:r>
      <w:r>
        <w:rPr>
          <w:rFonts w:ascii="David" w:hAnsi="David" w:cs="David"/>
          <w:color w:val="0000FF"/>
          <w:sz w:val="24"/>
          <w:szCs w:val="24"/>
          <w:vertAlign w:val="superscript"/>
          <w:rtl/>
        </w:rPr>
        <w:footnoteReference w:customMarkFollows="1" w:id="27"/>
        <w:t>27</w:t>
      </w:r>
      <w:r>
        <w:rPr>
          <w:rFonts w:ascii="David" w:hAnsi="David" w:cs="David"/>
          <w:color w:val="000000"/>
          <w:sz w:val="24"/>
          <w:szCs w:val="24"/>
          <w:rtl/>
        </w:rPr>
        <w:t>, וע' מים חיים. ודוקא כשיש להם שם לווי המורה על מין אחר, אבל כשנקראים על שם מקומם, אינו חשוב שם לווי</w:t>
      </w:r>
      <w:r>
        <w:rPr>
          <w:rFonts w:ascii="David" w:hAnsi="David" w:cs="David"/>
          <w:color w:val="0000FF"/>
          <w:sz w:val="24"/>
          <w:szCs w:val="24"/>
          <w:vertAlign w:val="superscript"/>
          <w:rtl/>
        </w:rPr>
        <w:footnoteReference w:customMarkFollows="1" w:id="28"/>
        <w:t>28</w:t>
      </w:r>
      <w:r>
        <w:rPr>
          <w:rFonts w:ascii="David" w:hAnsi="David" w:cs="David"/>
          <w:color w:val="000000"/>
          <w:sz w:val="24"/>
          <w:szCs w:val="24"/>
          <w:rtl/>
        </w:rPr>
        <w:t>, וכן דוקא כשנשתנה שמם קודם מתן תורה, חשוב שם לווי</w:t>
      </w:r>
      <w:r>
        <w:rPr>
          <w:rFonts w:ascii="David" w:hAnsi="David" w:cs="David"/>
          <w:color w:val="0000FF"/>
          <w:sz w:val="24"/>
          <w:szCs w:val="24"/>
          <w:vertAlign w:val="superscript"/>
          <w:rtl/>
        </w:rPr>
        <w:footnoteReference w:customMarkFollows="1" w:id="29"/>
        <w:t>29</w:t>
      </w:r>
      <w:r>
        <w:rPr>
          <w:rFonts w:ascii="David" w:hAnsi="David" w:cs="David"/>
          <w:color w:val="000000"/>
          <w:sz w:val="24"/>
          <w:szCs w:val="24"/>
          <w:rtl/>
        </w:rPr>
        <w:t>. ויש מן האחרונים שכתבו בדעת ראשונים, שלדעת התנאים הדורשים לענין הדחת הקרבנות: במים</w:t>
      </w:r>
      <w:r>
        <w:rPr>
          <w:rFonts w:ascii="David" w:hAnsi="David" w:cs="David"/>
          <w:color w:val="0000FF"/>
          <w:sz w:val="24"/>
          <w:szCs w:val="24"/>
          <w:vertAlign w:val="superscript"/>
          <w:rtl/>
        </w:rPr>
        <w:footnoteReference w:customMarkFollows="1" w:id="30"/>
        <w:t>30</w:t>
      </w:r>
      <w:r>
        <w:rPr>
          <w:rFonts w:ascii="David" w:hAnsi="David" w:cs="David"/>
          <w:color w:val="000000"/>
          <w:sz w:val="24"/>
          <w:szCs w:val="24"/>
          <w:rtl/>
        </w:rPr>
        <w:t>, לרבות שאר מים</w:t>
      </w:r>
      <w:r>
        <w:rPr>
          <w:rFonts w:ascii="David" w:hAnsi="David" w:cs="David"/>
          <w:color w:val="0000FF"/>
          <w:sz w:val="24"/>
          <w:szCs w:val="24"/>
          <w:vertAlign w:val="superscript"/>
          <w:rtl/>
        </w:rPr>
        <w:footnoteReference w:customMarkFollows="1" w:id="31"/>
        <w:t>31</w:t>
      </w:r>
      <w:r>
        <w:rPr>
          <w:rFonts w:ascii="David" w:hAnsi="David" w:cs="David"/>
          <w:color w:val="000000"/>
          <w:sz w:val="24"/>
          <w:szCs w:val="24"/>
          <w:rtl/>
        </w:rPr>
        <w:t>, אף מים שיש להם שם לווי, בכלל "מים" שבכתוב הם</w:t>
      </w:r>
      <w:r>
        <w:rPr>
          <w:rFonts w:ascii="David" w:hAnsi="David" w:cs="David"/>
          <w:color w:val="0000FF"/>
          <w:sz w:val="24"/>
          <w:szCs w:val="24"/>
          <w:vertAlign w:val="superscript"/>
          <w:rtl/>
        </w:rPr>
        <w:footnoteReference w:customMarkFollows="1" w:id="32"/>
        <w:t>32</w:t>
      </w:r>
      <w:r>
        <w:rPr>
          <w:rFonts w:ascii="David" w:hAnsi="David" w:cs="David"/>
          <w:color w:val="000000"/>
          <w:sz w:val="24"/>
          <w:szCs w:val="24"/>
          <w:rtl/>
        </w:rPr>
        <w:t>, שלענין מים, אף על פי שהם מלוחים או פושרים, עדיין מין מים הם, וכשם שהם כשרים להדחת הקרבנות, כך יש להם להיות כשרים למי חטאת</w:t>
      </w:r>
      <w:r>
        <w:rPr>
          <w:rFonts w:ascii="David" w:hAnsi="David" w:cs="David"/>
          <w:color w:val="0000FF"/>
          <w:sz w:val="24"/>
          <w:szCs w:val="24"/>
          <w:vertAlign w:val="superscript"/>
          <w:rtl/>
        </w:rPr>
        <w:footnoteReference w:customMarkFollows="1" w:id="33"/>
        <w:t>33</w:t>
      </w:r>
      <w:r>
        <w:rPr>
          <w:rFonts w:ascii="David" w:hAnsi="David" w:cs="David"/>
          <w:color w:val="000000"/>
          <w:sz w:val="24"/>
          <w:szCs w:val="24"/>
          <w:rtl/>
        </w:rPr>
        <w:t>, ולדעת אותם ראשונים, הלכה כאותם התנאים, ולא כאותה ששנה תנא דבי שמואל שאין מי כיור קרואים מים</w:t>
      </w:r>
      <w:r>
        <w:rPr>
          <w:rFonts w:ascii="David" w:hAnsi="David" w:cs="David"/>
          <w:color w:val="0000FF"/>
          <w:sz w:val="24"/>
          <w:szCs w:val="24"/>
          <w:vertAlign w:val="superscript"/>
          <w:rtl/>
        </w:rPr>
        <w:footnoteReference w:customMarkFollows="1" w:id="34"/>
        <w:t>34</w:t>
      </w:r>
      <w:r>
        <w:rPr>
          <w:rFonts w:ascii="David" w:hAnsi="David" w:cs="David"/>
          <w:color w:val="000000"/>
          <w:sz w:val="24"/>
          <w:szCs w:val="24"/>
          <w:rtl/>
        </w:rPr>
        <w:t xml:space="preserve">. </w:t>
      </w:r>
    </w:p>
    <w:p w14:paraId="4FDE8D5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מי חטאת עצמם, אם חשובים שיש להם שם לווי, עי' להלן: לטמא אחרים</w:t>
      </w:r>
      <w:r>
        <w:rPr>
          <w:rFonts w:ascii="David" w:hAnsi="David" w:cs="David"/>
          <w:color w:val="0000FF"/>
          <w:sz w:val="24"/>
          <w:szCs w:val="24"/>
          <w:vertAlign w:val="superscript"/>
          <w:rtl/>
        </w:rPr>
        <w:footnoteReference w:customMarkFollows="1" w:id="35"/>
        <w:t>35</w:t>
      </w:r>
      <w:r>
        <w:rPr>
          <w:rFonts w:ascii="David" w:hAnsi="David" w:cs="David"/>
          <w:color w:val="000000"/>
          <w:sz w:val="24"/>
          <w:szCs w:val="24"/>
          <w:rtl/>
        </w:rPr>
        <w:t xml:space="preserve">. </w:t>
      </w:r>
    </w:p>
    <w:p w14:paraId="27E092E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כמה דברים פוסלים את מי החטאת, קודם שנתקדשו, או לאחר שנתקדשו, ועל כך, עי' להלן. על פסולם מחמת דבר שנתערב בהם, או מחמת טומאה, עי' להלן: פסולם על ידי תערובת; פסולם מחמת טומאה. </w:t>
      </w:r>
    </w:p>
    <w:p w14:paraId="6D6F808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[שימור]</w:t>
      </w:r>
    </w:p>
    <w:p w14:paraId="69A29D1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 שנשאבו למי חטאת - על שאיבתם עי' להלן: המילוי - צריכים שימור</w:t>
      </w:r>
      <w:r>
        <w:rPr>
          <w:rFonts w:ascii="David" w:hAnsi="David" w:cs="David"/>
          <w:color w:val="0000FF"/>
          <w:sz w:val="24"/>
          <w:szCs w:val="24"/>
          <w:vertAlign w:val="superscript"/>
          <w:rtl/>
        </w:rPr>
        <w:footnoteReference w:customMarkFollows="1" w:id="36"/>
        <w:t>36</w:t>
      </w:r>
      <w:r>
        <w:rPr>
          <w:rFonts w:ascii="David" w:hAnsi="David" w:cs="David"/>
          <w:color w:val="000000"/>
          <w:sz w:val="24"/>
          <w:szCs w:val="24"/>
          <w:rtl/>
        </w:rPr>
        <w:t>, שנאמר: למשמרת למי נדה</w:t>
      </w:r>
      <w:r>
        <w:rPr>
          <w:rFonts w:ascii="David" w:hAnsi="David" w:cs="David"/>
          <w:color w:val="0000FF"/>
          <w:sz w:val="24"/>
          <w:szCs w:val="24"/>
          <w:vertAlign w:val="superscript"/>
          <w:rtl/>
        </w:rPr>
        <w:footnoteReference w:customMarkFollows="1" w:id="37"/>
        <w:t>37</w:t>
      </w:r>
      <w:r>
        <w:rPr>
          <w:rFonts w:ascii="David" w:hAnsi="David" w:cs="David"/>
          <w:color w:val="000000"/>
          <w:sz w:val="24"/>
          <w:szCs w:val="24"/>
          <w:rtl/>
        </w:rPr>
        <w:t>. וענין השימור הוא שלא יסיח דעתו מן המים</w:t>
      </w:r>
      <w:r>
        <w:rPr>
          <w:rFonts w:ascii="David" w:hAnsi="David" w:cs="David"/>
          <w:color w:val="0000FF"/>
          <w:sz w:val="24"/>
          <w:szCs w:val="24"/>
          <w:vertAlign w:val="superscript"/>
          <w:rtl/>
        </w:rPr>
        <w:footnoteReference w:customMarkFollows="1" w:id="38"/>
        <w:t>38</w:t>
      </w:r>
      <w:r>
        <w:rPr>
          <w:rFonts w:ascii="David" w:hAnsi="David" w:cs="David"/>
          <w:color w:val="000000"/>
          <w:sz w:val="24"/>
          <w:szCs w:val="24"/>
          <w:rtl/>
        </w:rPr>
        <w:t>, ואם הסיח דעתו מהם פסולים</w:t>
      </w:r>
      <w:r>
        <w:rPr>
          <w:rFonts w:ascii="David" w:hAnsi="David" w:cs="David"/>
          <w:color w:val="0000FF"/>
          <w:sz w:val="24"/>
          <w:szCs w:val="24"/>
          <w:vertAlign w:val="superscript"/>
          <w:rtl/>
        </w:rPr>
        <w:footnoteReference w:customMarkFollows="1" w:id="39"/>
        <w:t>39</w:t>
      </w:r>
      <w:r>
        <w:rPr>
          <w:rFonts w:ascii="David" w:hAnsi="David" w:cs="David"/>
          <w:color w:val="000000"/>
          <w:sz w:val="24"/>
          <w:szCs w:val="24"/>
          <w:rtl/>
        </w:rPr>
        <w:t>. ואף בשעת המילוי צריך שלא יסיח דעתו</w:t>
      </w:r>
      <w:r>
        <w:rPr>
          <w:rFonts w:ascii="David" w:hAnsi="David" w:cs="David"/>
          <w:color w:val="0000FF"/>
          <w:sz w:val="24"/>
          <w:szCs w:val="24"/>
          <w:vertAlign w:val="superscript"/>
          <w:rtl/>
        </w:rPr>
        <w:footnoteReference w:customMarkFollows="1" w:id="40"/>
        <w:t>40</w:t>
      </w:r>
      <w:r>
        <w:rPr>
          <w:rFonts w:ascii="David" w:hAnsi="David" w:cs="David"/>
          <w:color w:val="000000"/>
          <w:sz w:val="24"/>
          <w:szCs w:val="24"/>
          <w:rtl/>
        </w:rPr>
        <w:t>, ואפילו לסוברים שאין צריך כח האדם במילוי מי חטאת, ואם נתמלא הכלי מאליו כשר</w:t>
      </w:r>
      <w:r>
        <w:rPr>
          <w:rFonts w:ascii="David" w:hAnsi="David" w:cs="David"/>
          <w:color w:val="0000FF"/>
          <w:sz w:val="24"/>
          <w:szCs w:val="24"/>
          <w:vertAlign w:val="superscript"/>
          <w:rtl/>
        </w:rPr>
        <w:footnoteReference w:customMarkFollows="1" w:id="41"/>
        <w:t>41</w:t>
      </w:r>
      <w:r>
        <w:rPr>
          <w:rFonts w:ascii="David" w:hAnsi="David" w:cs="David"/>
          <w:color w:val="000000"/>
          <w:sz w:val="24"/>
          <w:szCs w:val="24"/>
          <w:rtl/>
        </w:rPr>
        <w:t>, מכל מקום צריך שייעשה המילוי לדעת האדם, ולא יסיח דעתו ממנו</w:t>
      </w:r>
      <w:r>
        <w:rPr>
          <w:rFonts w:ascii="David" w:hAnsi="David" w:cs="David"/>
          <w:color w:val="0000FF"/>
          <w:sz w:val="24"/>
          <w:szCs w:val="24"/>
          <w:vertAlign w:val="superscript"/>
          <w:rtl/>
        </w:rPr>
        <w:footnoteReference w:customMarkFollows="1" w:id="42"/>
        <w:t>42</w:t>
      </w:r>
      <w:r>
        <w:rPr>
          <w:rFonts w:ascii="David" w:hAnsi="David" w:cs="David"/>
          <w:color w:val="000000"/>
          <w:sz w:val="24"/>
          <w:szCs w:val="24"/>
          <w:rtl/>
        </w:rPr>
        <w:t>. ואף אם שתו בעלי חיים מן המים, יש סוברים שהואיל ונכנסו המים בפיהם הסיח דעתו מהם ונפסלו, ולכך בעלי חיים שמקיאים מהמים שהם שותים, כיון שנפסלו אותם מים בהיסח הדעת, פוסלים הם את שאר המים</w:t>
      </w:r>
      <w:r>
        <w:rPr>
          <w:rFonts w:ascii="David" w:hAnsi="David" w:cs="David"/>
          <w:color w:val="0000FF"/>
          <w:sz w:val="24"/>
          <w:szCs w:val="24"/>
          <w:vertAlign w:val="superscript"/>
          <w:rtl/>
        </w:rPr>
        <w:footnoteReference w:customMarkFollows="1" w:id="43"/>
        <w:t>43</w:t>
      </w:r>
      <w:r>
        <w:rPr>
          <w:rFonts w:ascii="David" w:hAnsi="David" w:cs="David"/>
          <w:color w:val="000000"/>
          <w:sz w:val="24"/>
          <w:szCs w:val="24"/>
          <w:rtl/>
        </w:rPr>
        <w:t>. על הסוברים שהמים נפסלים מטעמים אחרים, עי' להלן</w:t>
      </w:r>
      <w:r>
        <w:rPr>
          <w:rFonts w:ascii="David" w:hAnsi="David" w:cs="David"/>
          <w:color w:val="0000FF"/>
          <w:sz w:val="24"/>
          <w:szCs w:val="24"/>
          <w:vertAlign w:val="superscript"/>
          <w:rtl/>
        </w:rPr>
        <w:footnoteReference w:customMarkFollows="1" w:id="44"/>
        <w:t>44</w:t>
      </w:r>
      <w:r>
        <w:rPr>
          <w:rFonts w:ascii="David" w:hAnsi="David" w:cs="David"/>
          <w:color w:val="000000"/>
          <w:sz w:val="24"/>
          <w:szCs w:val="24"/>
          <w:rtl/>
        </w:rPr>
        <w:t>. על שמירת טמא, ע"ע הסח הדעת</w:t>
      </w:r>
      <w:r>
        <w:rPr>
          <w:rFonts w:ascii="David" w:hAnsi="David" w:cs="David"/>
          <w:color w:val="0000FF"/>
          <w:sz w:val="24"/>
          <w:szCs w:val="24"/>
          <w:vertAlign w:val="superscript"/>
          <w:rtl/>
        </w:rPr>
        <w:footnoteReference w:customMarkFollows="1" w:id="45"/>
        <w:t>45</w:t>
      </w:r>
      <w:r>
        <w:rPr>
          <w:rFonts w:ascii="David" w:hAnsi="David" w:cs="David"/>
          <w:color w:val="000000"/>
          <w:sz w:val="24"/>
          <w:szCs w:val="24"/>
          <w:rtl/>
        </w:rPr>
        <w:t xml:space="preserve">. </w:t>
      </w:r>
    </w:p>
    <w:p w14:paraId="1E72A5A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מהות שמירה זו כתבו אחרונים, שהיא שמירה מטומאה</w:t>
      </w:r>
      <w:r>
        <w:rPr>
          <w:rFonts w:ascii="David" w:hAnsi="David" w:cs="David"/>
          <w:color w:val="0000FF"/>
          <w:sz w:val="24"/>
          <w:szCs w:val="24"/>
          <w:vertAlign w:val="superscript"/>
          <w:rtl/>
        </w:rPr>
        <w:footnoteReference w:customMarkFollows="1" w:id="46"/>
        <w:t>46</w:t>
      </w:r>
      <w:r>
        <w:rPr>
          <w:rFonts w:ascii="David" w:hAnsi="David" w:cs="David"/>
          <w:color w:val="000000"/>
          <w:sz w:val="24"/>
          <w:szCs w:val="24"/>
          <w:rtl/>
        </w:rPr>
        <w:t xml:space="preserve"> - על פסול מים שנטמאו עי' להלן: פסולם מחמת טומאה</w:t>
      </w:r>
      <w:r>
        <w:rPr>
          <w:rFonts w:ascii="David" w:hAnsi="David" w:cs="David"/>
          <w:color w:val="0000FF"/>
          <w:sz w:val="24"/>
          <w:szCs w:val="24"/>
          <w:vertAlign w:val="superscript"/>
          <w:rtl/>
        </w:rPr>
        <w:footnoteReference w:customMarkFollows="1" w:id="47"/>
        <w:t>47</w:t>
      </w:r>
      <w:r>
        <w:rPr>
          <w:rFonts w:ascii="David" w:hAnsi="David" w:cs="David"/>
          <w:color w:val="000000"/>
          <w:sz w:val="24"/>
          <w:szCs w:val="24"/>
          <w:rtl/>
        </w:rPr>
        <w:t xml:space="preserve"> - ומכל מקום אף אם יבוא אליהו ויאמר שלא נטמאו המים, אם הסיח דעתו, פסולים, שבמי חטאת לדברי הכל היסח הדעת פסול הגוף הוא - אף לסוברים שבכל קדשים פסול היסח הדעת הוא משום חשש טומאה</w:t>
      </w:r>
      <w:r>
        <w:rPr>
          <w:rFonts w:ascii="David" w:hAnsi="David" w:cs="David"/>
          <w:color w:val="0000FF"/>
          <w:sz w:val="24"/>
          <w:szCs w:val="24"/>
          <w:vertAlign w:val="superscript"/>
          <w:rtl/>
        </w:rPr>
        <w:footnoteReference w:customMarkFollows="1" w:id="48"/>
        <w:t>48</w:t>
      </w:r>
      <w:r>
        <w:rPr>
          <w:rFonts w:ascii="David" w:hAnsi="David" w:cs="David"/>
          <w:color w:val="000000"/>
          <w:sz w:val="24"/>
          <w:szCs w:val="24"/>
          <w:rtl/>
        </w:rPr>
        <w:t xml:space="preserve"> - ולא משום חשש שמא נטמאו</w:t>
      </w:r>
      <w:r>
        <w:rPr>
          <w:rFonts w:ascii="David" w:hAnsi="David" w:cs="David"/>
          <w:color w:val="0000FF"/>
          <w:sz w:val="24"/>
          <w:szCs w:val="24"/>
          <w:vertAlign w:val="superscript"/>
          <w:rtl/>
        </w:rPr>
        <w:footnoteReference w:customMarkFollows="1" w:id="49"/>
        <w:t>49</w:t>
      </w:r>
      <w:r>
        <w:rPr>
          <w:rFonts w:ascii="David" w:hAnsi="David" w:cs="David"/>
          <w:color w:val="000000"/>
          <w:sz w:val="24"/>
          <w:szCs w:val="24"/>
          <w:rtl/>
        </w:rPr>
        <w:t>, ומכל מקום יש שכתבו שמלבד הפסול שנתחדש במי חטאת, נפסלים הם בהיסח הדעת אף כשאר קדשים</w:t>
      </w:r>
      <w:r>
        <w:rPr>
          <w:rFonts w:ascii="David" w:hAnsi="David" w:cs="David"/>
          <w:color w:val="0000FF"/>
          <w:sz w:val="24"/>
          <w:szCs w:val="24"/>
          <w:vertAlign w:val="superscript"/>
          <w:rtl/>
        </w:rPr>
        <w:footnoteReference w:customMarkFollows="1" w:id="50"/>
        <w:t>50</w:t>
      </w:r>
      <w:r>
        <w:rPr>
          <w:rFonts w:ascii="David" w:hAnsi="David" w:cs="David"/>
          <w:color w:val="000000"/>
          <w:sz w:val="24"/>
          <w:szCs w:val="24"/>
          <w:rtl/>
        </w:rPr>
        <w:t>. ויש מן האחרונים שכתבו שצריך אף שיהא נעשה השימור לשם מי חטאת, ולכן אם היה משמרם בטהרת חטאת כדי לשתות מהם, פסולים</w:t>
      </w:r>
      <w:r>
        <w:rPr>
          <w:rFonts w:ascii="David" w:hAnsi="David" w:cs="David"/>
          <w:color w:val="0000FF"/>
          <w:sz w:val="24"/>
          <w:szCs w:val="24"/>
          <w:vertAlign w:val="superscript"/>
          <w:rtl/>
        </w:rPr>
        <w:footnoteReference w:customMarkFollows="1" w:id="51"/>
        <w:t>51</w:t>
      </w:r>
      <w:r>
        <w:rPr>
          <w:rFonts w:ascii="David" w:hAnsi="David" w:cs="David"/>
          <w:color w:val="000000"/>
          <w:sz w:val="24"/>
          <w:szCs w:val="24"/>
          <w:rtl/>
        </w:rPr>
        <w:t>, ומהם שכתבו בטעם הדבר, שהכתוב "למשמרת למי נדה", מוסיף על הכתוב אחריו "ולקחו לטמא"</w:t>
      </w:r>
      <w:r>
        <w:rPr>
          <w:rFonts w:ascii="David" w:hAnsi="David" w:cs="David"/>
          <w:color w:val="0000FF"/>
          <w:sz w:val="24"/>
          <w:szCs w:val="24"/>
          <w:vertAlign w:val="superscript"/>
          <w:rtl/>
        </w:rPr>
        <w:footnoteReference w:customMarkFollows="1" w:id="52"/>
        <w:t>52</w:t>
      </w:r>
      <w:r>
        <w:rPr>
          <w:rFonts w:ascii="David" w:hAnsi="David" w:cs="David"/>
          <w:color w:val="000000"/>
          <w:sz w:val="24"/>
          <w:szCs w:val="24"/>
          <w:rtl/>
        </w:rPr>
        <w:t xml:space="preserve"> - המלמד שהמילוי והקידוש צריכים כוונה לשמה*</w:t>
      </w:r>
      <w:r>
        <w:rPr>
          <w:rFonts w:ascii="David" w:hAnsi="David" w:cs="David"/>
          <w:color w:val="0000FF"/>
          <w:sz w:val="24"/>
          <w:szCs w:val="24"/>
          <w:vertAlign w:val="superscript"/>
          <w:rtl/>
        </w:rPr>
        <w:footnoteReference w:customMarkFollows="1" w:id="53"/>
        <w:t>53</w:t>
      </w:r>
      <w:r>
        <w:rPr>
          <w:rFonts w:ascii="David" w:hAnsi="David" w:cs="David"/>
          <w:color w:val="000000"/>
          <w:sz w:val="24"/>
          <w:szCs w:val="24"/>
          <w:rtl/>
        </w:rPr>
        <w:t xml:space="preserve"> - שכשם שהמילוי והקידוש צריכים שיהיו </w:t>
      </w:r>
    </w:p>
    <w:p w14:paraId="2F48AC2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לשמה, כך שמירתם צריכה שתהיה לשמה</w:t>
      </w:r>
      <w:r>
        <w:rPr>
          <w:rFonts w:ascii="David" w:hAnsi="David" w:cs="David"/>
          <w:color w:val="0000FF"/>
          <w:sz w:val="24"/>
          <w:szCs w:val="24"/>
          <w:vertAlign w:val="superscript"/>
          <w:rtl/>
        </w:rPr>
        <w:footnoteReference w:customMarkFollows="1" w:id="54"/>
        <w:t>54</w:t>
      </w:r>
      <w:r>
        <w:rPr>
          <w:rFonts w:ascii="David" w:hAnsi="David" w:cs="David"/>
          <w:color w:val="000000"/>
          <w:sz w:val="24"/>
          <w:szCs w:val="24"/>
          <w:rtl/>
        </w:rPr>
        <w:t>. על הסוברים שמים המונחים במקום שמור, לא נפסלים בהסחת דעתו מהם, ע"ע הנ"ל</w:t>
      </w:r>
      <w:r>
        <w:rPr>
          <w:rFonts w:ascii="David" w:hAnsi="David" w:cs="David"/>
          <w:color w:val="0000FF"/>
          <w:sz w:val="24"/>
          <w:szCs w:val="24"/>
          <w:vertAlign w:val="superscript"/>
          <w:rtl/>
        </w:rPr>
        <w:footnoteReference w:customMarkFollows="1" w:id="55"/>
        <w:t>55</w:t>
      </w:r>
      <w:r>
        <w:rPr>
          <w:rFonts w:ascii="David" w:hAnsi="David" w:cs="David"/>
          <w:color w:val="000000"/>
          <w:sz w:val="24"/>
          <w:szCs w:val="24"/>
          <w:rtl/>
        </w:rPr>
        <w:t xml:space="preserve">. </w:t>
      </w:r>
    </w:p>
    <w:p w14:paraId="1201943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[זמן השימור]</w:t>
      </w:r>
    </w:p>
    <w:p w14:paraId="619FA3F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הזמן שפוסל בו היסח הדעת, יש מן הראשונים שכתבו שאינו אלא עד שעת נתינת אפר-חטאת* לתוך המים</w:t>
      </w:r>
      <w:r>
        <w:rPr>
          <w:rFonts w:ascii="David" w:hAnsi="David" w:cs="David"/>
          <w:color w:val="0000FF"/>
          <w:sz w:val="24"/>
          <w:szCs w:val="24"/>
          <w:vertAlign w:val="superscript"/>
          <w:rtl/>
        </w:rPr>
        <w:footnoteReference w:customMarkFollows="1" w:id="56"/>
        <w:t>56</w:t>
      </w:r>
      <w:r>
        <w:rPr>
          <w:rFonts w:ascii="David" w:hAnsi="David" w:cs="David"/>
          <w:color w:val="000000"/>
          <w:sz w:val="24"/>
          <w:szCs w:val="24"/>
          <w:rtl/>
        </w:rPr>
        <w:t>, ויש שכתבו שהוא פוסל אף לאחר נתינת האפר</w:t>
      </w:r>
      <w:r>
        <w:rPr>
          <w:rFonts w:ascii="David" w:hAnsi="David" w:cs="David"/>
          <w:color w:val="0000FF"/>
          <w:sz w:val="24"/>
          <w:szCs w:val="24"/>
          <w:vertAlign w:val="superscript"/>
          <w:rtl/>
        </w:rPr>
        <w:footnoteReference w:customMarkFollows="1" w:id="57"/>
        <w:t>57</w:t>
      </w:r>
      <w:r>
        <w:rPr>
          <w:rFonts w:ascii="David" w:hAnsi="David" w:cs="David"/>
          <w:color w:val="000000"/>
          <w:sz w:val="24"/>
          <w:szCs w:val="24"/>
          <w:rtl/>
        </w:rPr>
        <w:t>. על הסוברים שאחר מילוי אין פוסל היסח הדעת אלא מדרבנן, ע"ע הסח הדעת</w:t>
      </w:r>
      <w:r>
        <w:rPr>
          <w:rFonts w:ascii="David" w:hAnsi="David" w:cs="David"/>
          <w:color w:val="0000FF"/>
          <w:sz w:val="24"/>
          <w:szCs w:val="24"/>
          <w:vertAlign w:val="superscript"/>
          <w:rtl/>
        </w:rPr>
        <w:footnoteReference w:customMarkFollows="1" w:id="58"/>
        <w:t>58</w:t>
      </w:r>
      <w:r>
        <w:rPr>
          <w:rFonts w:ascii="David" w:hAnsi="David" w:cs="David"/>
          <w:color w:val="000000"/>
          <w:sz w:val="24"/>
          <w:szCs w:val="24"/>
          <w:rtl/>
        </w:rPr>
        <w:t>. על מחלוקת הראשונים והאחרונים אם היסח הדעת פוסל דוקא בשעת עבודה, כגון בשעה שעוסק במילוי, או שמוליך המים, או שיוצק אותם מכלי לכלי, או שבא לקדשם, או שפוסל אף שלא בשעת עבודה, ובלבד שמתעסק במים כגון ששוקלם במשקל, או שפוסל אף בשעה שהמים מונחים בכלי ואינו עוסק בהם כלל, ע"ע הנ"ל</w:t>
      </w:r>
      <w:r>
        <w:rPr>
          <w:rFonts w:ascii="David" w:hAnsi="David" w:cs="David"/>
          <w:color w:val="0000FF"/>
          <w:sz w:val="24"/>
          <w:szCs w:val="24"/>
          <w:vertAlign w:val="superscript"/>
          <w:rtl/>
        </w:rPr>
        <w:footnoteReference w:customMarkFollows="1" w:id="59"/>
        <w:t>59</w:t>
      </w:r>
      <w:r>
        <w:rPr>
          <w:rFonts w:ascii="David" w:hAnsi="David" w:cs="David"/>
          <w:color w:val="000000"/>
          <w:sz w:val="24"/>
          <w:szCs w:val="24"/>
          <w:rtl/>
        </w:rPr>
        <w:t xml:space="preserve">. </w:t>
      </w:r>
    </w:p>
    <w:p w14:paraId="4463594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[עשיית מלאכה אחרת]</w:t>
      </w:r>
    </w:p>
    <w:p w14:paraId="3266063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מלאכה אף היא פוסלת במי חטאת</w:t>
      </w:r>
      <w:r>
        <w:rPr>
          <w:rFonts w:ascii="David" w:hAnsi="David" w:cs="David"/>
          <w:color w:val="0000FF"/>
          <w:sz w:val="24"/>
          <w:szCs w:val="24"/>
          <w:vertAlign w:val="superscript"/>
          <w:rtl/>
        </w:rPr>
        <w:footnoteReference w:customMarkFollows="1" w:id="60"/>
        <w:t>60</w:t>
      </w:r>
      <w:r>
        <w:rPr>
          <w:rFonts w:ascii="David" w:hAnsi="David" w:cs="David"/>
          <w:color w:val="000000"/>
          <w:sz w:val="24"/>
          <w:szCs w:val="24"/>
          <w:rtl/>
        </w:rPr>
        <w:t>, היינו שעשה מלאכה אחרת, משעה שמילא את המים</w:t>
      </w:r>
      <w:r>
        <w:rPr>
          <w:rFonts w:ascii="David" w:hAnsi="David" w:cs="David"/>
          <w:color w:val="0000FF"/>
          <w:sz w:val="24"/>
          <w:szCs w:val="24"/>
          <w:vertAlign w:val="superscript"/>
          <w:rtl/>
        </w:rPr>
        <w:footnoteReference w:customMarkFollows="1" w:id="61"/>
        <w:t>61</w:t>
      </w:r>
      <w:r>
        <w:rPr>
          <w:rFonts w:ascii="David" w:hAnsi="David" w:cs="David"/>
          <w:color w:val="000000"/>
          <w:sz w:val="24"/>
          <w:szCs w:val="24"/>
          <w:rtl/>
        </w:rPr>
        <w:t>, ואף בשעת המילוי עצמו</w:t>
      </w:r>
      <w:r>
        <w:rPr>
          <w:rFonts w:ascii="David" w:hAnsi="David" w:cs="David"/>
          <w:color w:val="0000FF"/>
          <w:sz w:val="24"/>
          <w:szCs w:val="24"/>
          <w:vertAlign w:val="superscript"/>
          <w:rtl/>
        </w:rPr>
        <w:footnoteReference w:customMarkFollows="1" w:id="62"/>
        <w:t>62</w:t>
      </w:r>
      <w:r>
        <w:rPr>
          <w:rFonts w:ascii="David" w:hAnsi="David" w:cs="David"/>
          <w:color w:val="000000"/>
          <w:sz w:val="24"/>
          <w:szCs w:val="24"/>
          <w:rtl/>
        </w:rPr>
        <w:t xml:space="preserve"> - על הסוברים שאין מלאכה פוסלת אלא כשעשה מלאכה בגוף המים, ועל עצם פסול עשיית מלאכה בגוף המים, עי' להלן</w:t>
      </w:r>
      <w:r>
        <w:rPr>
          <w:rFonts w:ascii="David" w:hAnsi="David" w:cs="David"/>
          <w:color w:val="0000FF"/>
          <w:sz w:val="24"/>
          <w:szCs w:val="24"/>
          <w:vertAlign w:val="superscript"/>
          <w:rtl/>
        </w:rPr>
        <w:footnoteReference w:customMarkFollows="1" w:id="63"/>
        <w:t>63</w:t>
      </w:r>
      <w:r>
        <w:rPr>
          <w:rFonts w:ascii="David" w:hAnsi="David" w:cs="David"/>
          <w:color w:val="000000"/>
          <w:sz w:val="24"/>
          <w:szCs w:val="24"/>
          <w:rtl/>
        </w:rPr>
        <w:t xml:space="preserve"> - שנאמר: למשמרת למי נדה</w:t>
      </w:r>
      <w:r>
        <w:rPr>
          <w:rFonts w:ascii="David" w:hAnsi="David" w:cs="David"/>
          <w:color w:val="0000FF"/>
          <w:sz w:val="24"/>
          <w:szCs w:val="24"/>
          <w:vertAlign w:val="superscript"/>
          <w:rtl/>
        </w:rPr>
        <w:footnoteReference w:customMarkFollows="1" w:id="64"/>
        <w:t>64</w:t>
      </w:r>
      <w:r>
        <w:rPr>
          <w:rFonts w:ascii="David" w:hAnsi="David" w:cs="David"/>
          <w:color w:val="000000"/>
          <w:sz w:val="24"/>
          <w:szCs w:val="24"/>
          <w:rtl/>
        </w:rPr>
        <w:t>, על ביאור הלימוד מכתוב זה, ע"ע הסח הדעת</w:t>
      </w:r>
      <w:r>
        <w:rPr>
          <w:rFonts w:ascii="David" w:hAnsi="David" w:cs="David"/>
          <w:color w:val="0000FF"/>
          <w:sz w:val="24"/>
          <w:szCs w:val="24"/>
          <w:vertAlign w:val="superscript"/>
          <w:rtl/>
        </w:rPr>
        <w:footnoteReference w:customMarkFollows="1" w:id="65"/>
        <w:t>65</w:t>
      </w:r>
      <w:r>
        <w:rPr>
          <w:rFonts w:ascii="David" w:hAnsi="David" w:cs="David"/>
          <w:color w:val="000000"/>
          <w:sz w:val="24"/>
          <w:szCs w:val="24"/>
          <w:rtl/>
        </w:rPr>
        <w:t>. ודוקא עד שיטילו האפר במים, אבל משהוטל האפר, אין מלאכה פוסלת בהם</w:t>
      </w:r>
      <w:r>
        <w:rPr>
          <w:rFonts w:ascii="David" w:hAnsi="David" w:cs="David"/>
          <w:color w:val="0000FF"/>
          <w:sz w:val="24"/>
          <w:szCs w:val="24"/>
          <w:vertAlign w:val="superscript"/>
          <w:rtl/>
        </w:rPr>
        <w:footnoteReference w:customMarkFollows="1" w:id="66"/>
        <w:t>66</w:t>
      </w:r>
      <w:r>
        <w:rPr>
          <w:rFonts w:ascii="David" w:hAnsi="David" w:cs="David"/>
          <w:color w:val="000000"/>
          <w:sz w:val="24"/>
          <w:szCs w:val="24"/>
          <w:rtl/>
        </w:rPr>
        <w:t>, שנאמר: למשמרת למי נדה, ולא כשהם כבר מי נדה</w:t>
      </w:r>
      <w:r>
        <w:rPr>
          <w:rFonts w:ascii="David" w:hAnsi="David" w:cs="David"/>
          <w:color w:val="0000FF"/>
          <w:sz w:val="24"/>
          <w:szCs w:val="24"/>
          <w:vertAlign w:val="superscript"/>
          <w:rtl/>
        </w:rPr>
        <w:footnoteReference w:customMarkFollows="1" w:id="67"/>
        <w:t>67</w:t>
      </w:r>
      <w:r>
        <w:rPr>
          <w:rFonts w:ascii="David" w:hAnsi="David" w:cs="David"/>
          <w:color w:val="000000"/>
          <w:sz w:val="24"/>
          <w:szCs w:val="24"/>
          <w:rtl/>
        </w:rPr>
        <w:t>. על הסוברים שמדרבנן מלאכה פוסלת אף אחר קידוש, ע"ע הנ"ל</w:t>
      </w:r>
      <w:r>
        <w:rPr>
          <w:rFonts w:ascii="David" w:hAnsi="David" w:cs="David"/>
          <w:color w:val="0000FF"/>
          <w:sz w:val="24"/>
          <w:szCs w:val="24"/>
          <w:vertAlign w:val="superscript"/>
          <w:rtl/>
        </w:rPr>
        <w:footnoteReference w:customMarkFollows="1" w:id="68"/>
        <w:t>68</w:t>
      </w:r>
      <w:r>
        <w:rPr>
          <w:rFonts w:ascii="David" w:hAnsi="David" w:cs="David"/>
          <w:color w:val="000000"/>
          <w:sz w:val="24"/>
          <w:szCs w:val="24"/>
          <w:rtl/>
        </w:rPr>
        <w:t>. גדר פסול מלאכה אחרת שנעשית עם המים, נחלקו בו ראשונים ואחרונים: יש סוברים שפסולו הוא משום היסח הדעת</w:t>
      </w:r>
      <w:r>
        <w:rPr>
          <w:rFonts w:ascii="David" w:hAnsi="David" w:cs="David"/>
          <w:color w:val="0000FF"/>
          <w:sz w:val="24"/>
          <w:szCs w:val="24"/>
          <w:vertAlign w:val="superscript"/>
          <w:rtl/>
        </w:rPr>
        <w:footnoteReference w:customMarkFollows="1" w:id="69"/>
        <w:t>69</w:t>
      </w:r>
      <w:r>
        <w:rPr>
          <w:rFonts w:ascii="David" w:hAnsi="David" w:cs="David"/>
          <w:color w:val="000000"/>
          <w:sz w:val="24"/>
          <w:szCs w:val="24"/>
          <w:rtl/>
        </w:rPr>
        <w:t>, שאין אדם יכול לכוין דעתו לשני דברים כאחד, ואי אפשר בלא היסח הדעת</w:t>
      </w:r>
      <w:r>
        <w:rPr>
          <w:rFonts w:ascii="David" w:hAnsi="David" w:cs="David"/>
          <w:color w:val="0000FF"/>
          <w:sz w:val="24"/>
          <w:szCs w:val="24"/>
          <w:vertAlign w:val="superscript"/>
          <w:rtl/>
        </w:rPr>
        <w:footnoteReference w:customMarkFollows="1" w:id="70"/>
        <w:t>70</w:t>
      </w:r>
      <w:r>
        <w:rPr>
          <w:rFonts w:ascii="David" w:hAnsi="David" w:cs="David"/>
          <w:color w:val="000000"/>
          <w:sz w:val="24"/>
          <w:szCs w:val="24"/>
          <w:rtl/>
        </w:rPr>
        <w:t>, ואין דעתו שלימה בשמירת המים</w:t>
      </w:r>
      <w:r>
        <w:rPr>
          <w:rFonts w:ascii="David" w:hAnsi="David" w:cs="David"/>
          <w:color w:val="0000FF"/>
          <w:sz w:val="24"/>
          <w:szCs w:val="24"/>
          <w:vertAlign w:val="superscript"/>
          <w:rtl/>
        </w:rPr>
        <w:footnoteReference w:customMarkFollows="1" w:id="71"/>
        <w:t>71</w:t>
      </w:r>
      <w:r>
        <w:rPr>
          <w:rFonts w:ascii="David" w:hAnsi="David" w:cs="David"/>
          <w:color w:val="000000"/>
          <w:sz w:val="24"/>
          <w:szCs w:val="24"/>
          <w:rtl/>
        </w:rPr>
        <w:t>, ויש סוברים שהוא פסול בפני עצמו</w:t>
      </w:r>
      <w:r>
        <w:rPr>
          <w:rFonts w:ascii="David" w:hAnsi="David" w:cs="David"/>
          <w:color w:val="0000FF"/>
          <w:sz w:val="24"/>
          <w:szCs w:val="24"/>
          <w:vertAlign w:val="superscript"/>
          <w:rtl/>
        </w:rPr>
        <w:footnoteReference w:customMarkFollows="1" w:id="72"/>
        <w:t>72</w:t>
      </w:r>
      <w:r>
        <w:rPr>
          <w:rFonts w:ascii="David" w:hAnsi="David" w:cs="David"/>
          <w:color w:val="000000"/>
          <w:sz w:val="24"/>
          <w:szCs w:val="24"/>
          <w:rtl/>
        </w:rPr>
        <w:t>, ויש סוברים שפסולו הוא משום שעל ידי המלאכה יש חסרון בכוונת הלשמה במילוי, ועל כך, עי' להלן: המילוי</w:t>
      </w:r>
      <w:r>
        <w:rPr>
          <w:rFonts w:ascii="David" w:hAnsi="David" w:cs="David"/>
          <w:color w:val="0000FF"/>
          <w:sz w:val="24"/>
          <w:szCs w:val="24"/>
          <w:vertAlign w:val="superscript"/>
          <w:rtl/>
        </w:rPr>
        <w:footnoteReference w:customMarkFollows="1" w:id="73"/>
        <w:t>73</w:t>
      </w:r>
      <w:r>
        <w:rPr>
          <w:rFonts w:ascii="David" w:hAnsi="David" w:cs="David"/>
          <w:color w:val="000000"/>
          <w:sz w:val="24"/>
          <w:szCs w:val="24"/>
          <w:rtl/>
        </w:rPr>
        <w:t xml:space="preserve">. </w:t>
      </w:r>
    </w:p>
    <w:p w14:paraId="0F092FA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פעולות או כוונות שונות בשעת המילוי, אם בכלל היסח הדעת הן, או אם בכלל פסול מלאכה הן, ואם ומתי נפסלים המים על ידי היסח הדעת ומלאכה של הבעלים, או של הממלא, או של המקדש, או של שומר, או של אחד משני שומרים, או של אחר, ע"ע הסח הדעת</w:t>
      </w:r>
      <w:r>
        <w:rPr>
          <w:rFonts w:ascii="David" w:hAnsi="David" w:cs="David"/>
          <w:color w:val="0000FF"/>
          <w:sz w:val="24"/>
          <w:szCs w:val="24"/>
          <w:vertAlign w:val="superscript"/>
          <w:rtl/>
        </w:rPr>
        <w:footnoteReference w:customMarkFollows="1" w:id="74"/>
        <w:t>74</w:t>
      </w:r>
      <w:r>
        <w:rPr>
          <w:rFonts w:ascii="David" w:hAnsi="David" w:cs="David"/>
          <w:color w:val="000000"/>
          <w:sz w:val="24"/>
          <w:szCs w:val="24"/>
          <w:rtl/>
        </w:rPr>
        <w:t xml:space="preserve">. </w:t>
      </w:r>
    </w:p>
    <w:p w14:paraId="6E75813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[מלאכה במים]</w:t>
      </w:r>
    </w:p>
    <w:p w14:paraId="2CEBF91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העושה מלאכה בגוף מי חטאת, פסלם</w:t>
      </w:r>
      <w:r>
        <w:rPr>
          <w:rFonts w:ascii="David" w:hAnsi="David" w:cs="David"/>
          <w:color w:val="0000FF"/>
          <w:sz w:val="24"/>
          <w:szCs w:val="24"/>
          <w:vertAlign w:val="superscript"/>
          <w:rtl/>
        </w:rPr>
        <w:footnoteReference w:customMarkFollows="1" w:id="75"/>
        <w:t>75</w:t>
      </w:r>
      <w:r>
        <w:rPr>
          <w:rFonts w:ascii="David" w:hAnsi="David" w:cs="David"/>
          <w:color w:val="000000"/>
          <w:sz w:val="24"/>
          <w:szCs w:val="24"/>
          <w:rtl/>
        </w:rPr>
        <w:t>. על החשוב מלאכה בגוף המים, ע"ע הסח הדעת</w:t>
      </w:r>
      <w:r>
        <w:rPr>
          <w:rFonts w:ascii="David" w:hAnsi="David" w:cs="David"/>
          <w:color w:val="0000FF"/>
          <w:sz w:val="24"/>
          <w:szCs w:val="24"/>
          <w:vertAlign w:val="superscript"/>
          <w:rtl/>
        </w:rPr>
        <w:footnoteReference w:customMarkFollows="1" w:id="76"/>
        <w:t>76</w:t>
      </w:r>
      <w:r>
        <w:rPr>
          <w:rFonts w:ascii="David" w:hAnsi="David" w:cs="David"/>
          <w:color w:val="000000"/>
          <w:sz w:val="24"/>
          <w:szCs w:val="24"/>
          <w:rtl/>
        </w:rPr>
        <w:t>. ואף בעלי חיים ששתו מן המים, יש סוברים שהואיל והופרשו המים לשתיה חשוב שנעשתה בהם מלאכה, ולכך בעלי חיים שמקיאים מהמים שהם שותים, כיון שנפסלו אותם מים במלאכה, פוסלים את שאר המים</w:t>
      </w:r>
      <w:r>
        <w:rPr>
          <w:rFonts w:ascii="David" w:hAnsi="David" w:cs="David"/>
          <w:color w:val="0000FF"/>
          <w:sz w:val="24"/>
          <w:szCs w:val="24"/>
          <w:vertAlign w:val="superscript"/>
          <w:rtl/>
        </w:rPr>
        <w:footnoteReference w:customMarkFollows="1" w:id="77"/>
        <w:t>77</w:t>
      </w:r>
      <w:r>
        <w:rPr>
          <w:rFonts w:ascii="David" w:hAnsi="David" w:cs="David"/>
          <w:color w:val="000000"/>
          <w:sz w:val="24"/>
          <w:szCs w:val="24"/>
          <w:rtl/>
        </w:rPr>
        <w:t xml:space="preserve"> - על הסוברים שהמים נפסלים מטעמים אחרים, עי' לעיל ולהלן</w:t>
      </w:r>
      <w:r>
        <w:rPr>
          <w:rFonts w:ascii="David" w:hAnsi="David" w:cs="David"/>
          <w:color w:val="0000FF"/>
          <w:sz w:val="24"/>
          <w:szCs w:val="24"/>
          <w:vertAlign w:val="superscript"/>
          <w:rtl/>
        </w:rPr>
        <w:footnoteReference w:customMarkFollows="1" w:id="78"/>
        <w:t>78</w:t>
      </w:r>
      <w:r>
        <w:rPr>
          <w:rFonts w:ascii="David" w:hAnsi="David" w:cs="David"/>
          <w:color w:val="000000"/>
          <w:sz w:val="24"/>
          <w:szCs w:val="24"/>
          <w:rtl/>
        </w:rPr>
        <w:t xml:space="preserve"> - ונחלקו ראשונים: יש שפירשו שפסולם הוא משום היסח הדעת</w:t>
      </w:r>
      <w:r>
        <w:rPr>
          <w:rFonts w:ascii="David" w:hAnsi="David" w:cs="David"/>
          <w:color w:val="0000FF"/>
          <w:sz w:val="24"/>
          <w:szCs w:val="24"/>
          <w:vertAlign w:val="superscript"/>
          <w:rtl/>
        </w:rPr>
        <w:footnoteReference w:customMarkFollows="1" w:id="79"/>
        <w:t>79</w:t>
      </w:r>
      <w:r>
        <w:rPr>
          <w:rFonts w:ascii="David" w:hAnsi="David" w:cs="David"/>
          <w:color w:val="000000"/>
          <w:sz w:val="24"/>
          <w:szCs w:val="24"/>
          <w:rtl/>
        </w:rPr>
        <w:t>, ויש שפירשו שכיון שעשה בגופם מלאכה, ניתקם ממצותם, שלא יהיו מי חטאת, אלא דבר העומד לאותה מלאכה</w:t>
      </w:r>
      <w:r>
        <w:rPr>
          <w:rFonts w:ascii="David" w:hAnsi="David" w:cs="David"/>
          <w:color w:val="0000FF"/>
          <w:sz w:val="24"/>
          <w:szCs w:val="24"/>
          <w:vertAlign w:val="superscript"/>
          <w:rtl/>
        </w:rPr>
        <w:footnoteReference w:customMarkFollows="1" w:id="80"/>
        <w:t>80</w:t>
      </w:r>
      <w:r>
        <w:rPr>
          <w:rFonts w:ascii="David" w:hAnsi="David" w:cs="David"/>
          <w:color w:val="000000"/>
          <w:sz w:val="24"/>
          <w:szCs w:val="24"/>
          <w:rtl/>
        </w:rPr>
        <w:t>. ויש שפירשו שהם פסולים אף אם לא הסיח דעתו, ומשום שדין המים כתחילתה של פרה אדומה, שהמלאכה פוסלת בה</w:t>
      </w:r>
      <w:r>
        <w:rPr>
          <w:rFonts w:ascii="David" w:hAnsi="David" w:cs="David"/>
          <w:color w:val="0000FF"/>
          <w:sz w:val="24"/>
          <w:szCs w:val="24"/>
          <w:vertAlign w:val="superscript"/>
          <w:rtl/>
        </w:rPr>
        <w:footnoteReference w:customMarkFollows="1" w:id="81"/>
        <w:t>81</w:t>
      </w:r>
      <w:r>
        <w:rPr>
          <w:rFonts w:ascii="David" w:hAnsi="David" w:cs="David"/>
          <w:color w:val="000000"/>
          <w:sz w:val="24"/>
          <w:szCs w:val="24"/>
          <w:rtl/>
        </w:rPr>
        <w:t>. בזמן פסול זה, נחלקו ראשונים: יש סוברים שאינם נפסלים על ידי מלאכה בגופם אלא עד שיטילו בהם האפר</w:t>
      </w:r>
      <w:r>
        <w:rPr>
          <w:rFonts w:ascii="David" w:hAnsi="David" w:cs="David"/>
          <w:color w:val="0000FF"/>
          <w:sz w:val="24"/>
          <w:szCs w:val="24"/>
          <w:vertAlign w:val="superscript"/>
          <w:rtl/>
        </w:rPr>
        <w:footnoteReference w:customMarkFollows="1" w:id="82"/>
        <w:t>82</w:t>
      </w:r>
      <w:r>
        <w:rPr>
          <w:rFonts w:ascii="David" w:hAnsi="David" w:cs="David"/>
          <w:color w:val="000000"/>
          <w:sz w:val="24"/>
          <w:szCs w:val="24"/>
          <w:rtl/>
        </w:rPr>
        <w:t>. ויש סוברים שמלאכה בגופם פוסלת אף אחר הטלת האפר</w:t>
      </w:r>
      <w:r>
        <w:rPr>
          <w:rFonts w:ascii="David" w:hAnsi="David" w:cs="David"/>
          <w:color w:val="0000FF"/>
          <w:sz w:val="24"/>
          <w:szCs w:val="24"/>
          <w:vertAlign w:val="superscript"/>
          <w:rtl/>
        </w:rPr>
        <w:footnoteReference w:customMarkFollows="1" w:id="83"/>
        <w:t>83</w:t>
      </w:r>
      <w:r>
        <w:rPr>
          <w:rFonts w:ascii="David" w:hAnsi="David" w:cs="David"/>
          <w:color w:val="000000"/>
          <w:sz w:val="24"/>
          <w:szCs w:val="24"/>
          <w:rtl/>
        </w:rPr>
        <w:t xml:space="preserve">. </w:t>
      </w:r>
    </w:p>
    <w:p w14:paraId="73C0ECC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[שאינם בכלי]</w:t>
      </w:r>
    </w:p>
    <w:p w14:paraId="4B47A7C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מקודשים שיצאו מהכלי, לא נדחו בכך מתורת מי חטאת</w:t>
      </w:r>
      <w:r>
        <w:rPr>
          <w:rFonts w:ascii="David" w:hAnsi="David" w:cs="David"/>
          <w:color w:val="0000FF"/>
          <w:sz w:val="24"/>
          <w:szCs w:val="24"/>
          <w:vertAlign w:val="superscript"/>
          <w:rtl/>
        </w:rPr>
        <w:footnoteReference w:customMarkFollows="1" w:id="84"/>
        <w:t>84</w:t>
      </w:r>
      <w:r>
        <w:rPr>
          <w:rFonts w:ascii="David" w:hAnsi="David" w:cs="David"/>
          <w:color w:val="000000"/>
          <w:sz w:val="24"/>
          <w:szCs w:val="24"/>
          <w:rtl/>
        </w:rPr>
        <w:t>, וכן כשהם עכשיו באיזוב, אף שלא נטבלו כדין, אינם נפסלים</w:t>
      </w:r>
      <w:r>
        <w:rPr>
          <w:rFonts w:ascii="David" w:hAnsi="David" w:cs="David"/>
          <w:color w:val="0000FF"/>
          <w:sz w:val="24"/>
          <w:szCs w:val="24"/>
          <w:vertAlign w:val="superscript"/>
          <w:rtl/>
        </w:rPr>
        <w:footnoteReference w:customMarkFollows="1" w:id="85"/>
        <w:t>85</w:t>
      </w:r>
      <w:r>
        <w:rPr>
          <w:rFonts w:ascii="David" w:hAnsi="David" w:cs="David"/>
          <w:color w:val="000000"/>
          <w:sz w:val="24"/>
          <w:szCs w:val="24"/>
          <w:rtl/>
        </w:rPr>
        <w:t>, ואף אם נשפכו לארץ, יש שנראה מדבריהם שלא נפסלו אלא מדין הסח-הדעת*</w:t>
      </w:r>
      <w:r>
        <w:rPr>
          <w:rFonts w:ascii="David" w:hAnsi="David" w:cs="David"/>
          <w:color w:val="0000FF"/>
          <w:sz w:val="24"/>
          <w:szCs w:val="24"/>
          <w:vertAlign w:val="superscript"/>
          <w:rtl/>
        </w:rPr>
        <w:footnoteReference w:customMarkFollows="1" w:id="86"/>
        <w:t>86</w:t>
      </w:r>
      <w:r>
        <w:rPr>
          <w:rFonts w:ascii="David" w:hAnsi="David" w:cs="David"/>
          <w:color w:val="000000"/>
          <w:sz w:val="24"/>
          <w:szCs w:val="24"/>
          <w:rtl/>
        </w:rPr>
        <w:t>, ויש שנראה מדבריהם שאם נשפכו לארץ נפסלו</w:t>
      </w:r>
      <w:r>
        <w:rPr>
          <w:rFonts w:ascii="David" w:hAnsi="David" w:cs="David"/>
          <w:color w:val="0000FF"/>
          <w:sz w:val="24"/>
          <w:szCs w:val="24"/>
          <w:vertAlign w:val="superscript"/>
          <w:rtl/>
        </w:rPr>
        <w:footnoteReference w:customMarkFollows="1" w:id="87"/>
        <w:t>87</w:t>
      </w:r>
      <w:r>
        <w:rPr>
          <w:rFonts w:ascii="David" w:hAnsi="David" w:cs="David"/>
          <w:color w:val="000000"/>
          <w:sz w:val="24"/>
          <w:szCs w:val="24"/>
          <w:rtl/>
        </w:rPr>
        <w:t xml:space="preserve">. על מים </w:t>
      </w:r>
    </w:p>
    <w:p w14:paraId="16FCDE0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שאינם מקודשים שנשפכו לכלי שאינו ראוי למילוי, עי' להלן: המילוי</w:t>
      </w:r>
      <w:r>
        <w:rPr>
          <w:rFonts w:ascii="David" w:hAnsi="David" w:cs="David"/>
          <w:color w:val="0000FF"/>
          <w:sz w:val="24"/>
          <w:szCs w:val="24"/>
          <w:vertAlign w:val="superscript"/>
          <w:rtl/>
        </w:rPr>
        <w:footnoteReference w:customMarkFollows="1" w:id="88"/>
        <w:t>88</w:t>
      </w:r>
      <w:r>
        <w:rPr>
          <w:rFonts w:ascii="David" w:hAnsi="David" w:cs="David"/>
          <w:color w:val="000000"/>
          <w:sz w:val="24"/>
          <w:szCs w:val="24"/>
          <w:rtl/>
        </w:rPr>
        <w:t xml:space="preserve">. </w:t>
      </w:r>
    </w:p>
    <w:p w14:paraId="7DDD9C3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[שנראו ונדחו]</w:t>
      </w:r>
    </w:p>
    <w:p w14:paraId="39BF9BC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המקודשים שנדחו מהכשרם להזאה*, כתבו אחרונים שאינם חוזרים להכשרם, אפילו היה בידו בשעת הפסול להחזירם להכשרם, לסוברים שדחוי* במצוות שהיה בתחילה ראוי ונדחה שוב אינו חוזר להכשרו אפילו היה בידו להחזירו</w:t>
      </w:r>
      <w:r>
        <w:rPr>
          <w:rFonts w:ascii="David" w:hAnsi="David" w:cs="David"/>
          <w:color w:val="0000FF"/>
          <w:sz w:val="24"/>
          <w:szCs w:val="24"/>
          <w:vertAlign w:val="superscript"/>
          <w:rtl/>
        </w:rPr>
        <w:footnoteReference w:customMarkFollows="1" w:id="89"/>
        <w:t>89</w:t>
      </w:r>
      <w:r>
        <w:rPr>
          <w:rFonts w:ascii="David" w:hAnsi="David" w:cs="David"/>
          <w:color w:val="000000"/>
          <w:sz w:val="24"/>
          <w:szCs w:val="24"/>
          <w:rtl/>
        </w:rPr>
        <w:t>, ולדעתם, מטעם זה סוברים ראשונים שספוג שנפל למים המקודשים אין סוחטים אותו אל תוך המים</w:t>
      </w:r>
      <w:r>
        <w:rPr>
          <w:rFonts w:ascii="David" w:hAnsi="David" w:cs="David"/>
          <w:color w:val="0000FF"/>
          <w:sz w:val="24"/>
          <w:szCs w:val="24"/>
          <w:vertAlign w:val="superscript"/>
          <w:rtl/>
        </w:rPr>
        <w:footnoteReference w:customMarkFollows="1" w:id="90"/>
        <w:t>90</w:t>
      </w:r>
      <w:r>
        <w:rPr>
          <w:rFonts w:ascii="David" w:hAnsi="David" w:cs="David"/>
          <w:color w:val="000000"/>
          <w:sz w:val="24"/>
          <w:szCs w:val="24"/>
          <w:rtl/>
        </w:rPr>
        <w:t>, לפי שבשעה שהמים בתוך הספוג הרי הם דחויים מהזאה, ולפיכך אפילו חוזר וסוחטם אינם חוזרים ונראים, ופוסלים את המים</w:t>
      </w:r>
      <w:r>
        <w:rPr>
          <w:rFonts w:ascii="David" w:hAnsi="David" w:cs="David"/>
          <w:color w:val="0000FF"/>
          <w:sz w:val="24"/>
          <w:szCs w:val="24"/>
          <w:vertAlign w:val="superscript"/>
          <w:rtl/>
        </w:rPr>
        <w:footnoteReference w:customMarkFollows="1" w:id="91"/>
        <w:t>91</w:t>
      </w:r>
      <w:r>
        <w:rPr>
          <w:rFonts w:ascii="David" w:hAnsi="David" w:cs="David"/>
          <w:color w:val="000000"/>
          <w:sz w:val="24"/>
          <w:szCs w:val="24"/>
          <w:rtl/>
        </w:rPr>
        <w:t>. על טעם אחר שנפסלו המים מסחיטת הספוג, עי' להלן: פסולם על ידי תערובת</w:t>
      </w:r>
      <w:r>
        <w:rPr>
          <w:rFonts w:ascii="David" w:hAnsi="David" w:cs="David"/>
          <w:color w:val="0000FF"/>
          <w:sz w:val="24"/>
          <w:szCs w:val="24"/>
          <w:vertAlign w:val="superscript"/>
          <w:rtl/>
        </w:rPr>
        <w:footnoteReference w:customMarkFollows="1" w:id="92"/>
        <w:t>92</w:t>
      </w:r>
      <w:r>
        <w:rPr>
          <w:rFonts w:ascii="David" w:hAnsi="David" w:cs="David"/>
          <w:color w:val="000000"/>
          <w:sz w:val="24"/>
          <w:szCs w:val="24"/>
          <w:rtl/>
        </w:rPr>
        <w:t xml:space="preserve">. </w:t>
      </w:r>
    </w:p>
    <w:p w14:paraId="06C76C5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[נעשית מצותם]</w:t>
      </w:r>
    </w:p>
    <w:p w14:paraId="2B934F8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שנעשתה מצותם על ידי שהיזה מהם על הטמא, כתבו ראשונים ואחרונים שאינם ראויים עוד לטהר</w:t>
      </w:r>
      <w:r>
        <w:rPr>
          <w:rFonts w:ascii="David" w:hAnsi="David" w:cs="David"/>
          <w:color w:val="0000FF"/>
          <w:sz w:val="24"/>
          <w:szCs w:val="24"/>
          <w:vertAlign w:val="superscript"/>
          <w:rtl/>
        </w:rPr>
        <w:footnoteReference w:customMarkFollows="1" w:id="93"/>
        <w:t>93</w:t>
      </w:r>
      <w:r>
        <w:rPr>
          <w:rFonts w:ascii="David" w:hAnsi="David" w:cs="David"/>
          <w:color w:val="000000"/>
          <w:sz w:val="24"/>
          <w:szCs w:val="24"/>
          <w:rtl/>
        </w:rPr>
        <w:t>, ויש שכתבו שמטעם זה אם היזה על אחד, ונתמצתה ההזאה על אחר, אין ההזאה מועילה לטהר את האחר</w:t>
      </w:r>
      <w:r>
        <w:rPr>
          <w:rFonts w:ascii="David" w:hAnsi="David" w:cs="David"/>
          <w:color w:val="0000FF"/>
          <w:sz w:val="24"/>
          <w:szCs w:val="24"/>
          <w:vertAlign w:val="superscript"/>
          <w:rtl/>
        </w:rPr>
        <w:footnoteReference w:customMarkFollows="1" w:id="94"/>
        <w:t>94</w:t>
      </w:r>
      <w:r>
        <w:rPr>
          <w:rFonts w:ascii="David" w:hAnsi="David" w:cs="David"/>
          <w:color w:val="000000"/>
          <w:sz w:val="24"/>
          <w:szCs w:val="24"/>
          <w:rtl/>
        </w:rPr>
        <w:t>, שכיון שהיזה על אחד, נעשתה מצותו, ושוב אין ההזאה ראויה לטהר</w:t>
      </w:r>
      <w:r>
        <w:rPr>
          <w:rFonts w:ascii="David" w:hAnsi="David" w:cs="David"/>
          <w:color w:val="0000FF"/>
          <w:sz w:val="24"/>
          <w:szCs w:val="24"/>
          <w:vertAlign w:val="superscript"/>
          <w:rtl/>
        </w:rPr>
        <w:footnoteReference w:customMarkFollows="1" w:id="95"/>
        <w:t>95</w:t>
      </w:r>
      <w:r>
        <w:rPr>
          <w:rFonts w:ascii="David" w:hAnsi="David" w:cs="David"/>
          <w:color w:val="000000"/>
          <w:sz w:val="24"/>
          <w:szCs w:val="24"/>
          <w:rtl/>
        </w:rPr>
        <w:t>. על מחלוקת התנאים אם מים שנעשתה מצותם מטמאים כדין שאר מי חטאת</w:t>
      </w:r>
      <w:r>
        <w:rPr>
          <w:rFonts w:ascii="David" w:hAnsi="David" w:cs="David"/>
          <w:color w:val="0000FF"/>
          <w:sz w:val="24"/>
          <w:szCs w:val="24"/>
          <w:vertAlign w:val="superscript"/>
          <w:rtl/>
        </w:rPr>
        <w:footnoteReference w:customMarkFollows="1" w:id="96"/>
        <w:t>96</w:t>
      </w:r>
      <w:r>
        <w:rPr>
          <w:rFonts w:ascii="David" w:hAnsi="David" w:cs="David"/>
          <w:color w:val="000000"/>
          <w:sz w:val="24"/>
          <w:szCs w:val="24"/>
          <w:rtl/>
        </w:rPr>
        <w:t>, ועל גדרי מים שנעשתה מצותם, עי' להלן: כשנפסלו</w:t>
      </w:r>
      <w:r>
        <w:rPr>
          <w:rFonts w:ascii="David" w:hAnsi="David" w:cs="David"/>
          <w:color w:val="0000FF"/>
          <w:sz w:val="24"/>
          <w:szCs w:val="24"/>
          <w:vertAlign w:val="superscript"/>
          <w:rtl/>
        </w:rPr>
        <w:footnoteReference w:customMarkFollows="1" w:id="97"/>
        <w:t>97</w:t>
      </w:r>
      <w:r>
        <w:rPr>
          <w:rFonts w:ascii="David" w:hAnsi="David" w:cs="David"/>
          <w:color w:val="000000"/>
          <w:sz w:val="24"/>
          <w:szCs w:val="24"/>
          <w:rtl/>
        </w:rPr>
        <w:t xml:space="preserve">. </w:t>
      </w:r>
    </w:p>
    <w:p w14:paraId="4D5E70F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[טבילת כלי שיש בו מי חטאת]</w:t>
      </w:r>
    </w:p>
    <w:p w14:paraId="3B2090C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 המקודשים</w:t>
      </w:r>
      <w:r>
        <w:rPr>
          <w:rFonts w:ascii="David" w:hAnsi="David" w:cs="David"/>
          <w:color w:val="0000FF"/>
          <w:sz w:val="24"/>
          <w:szCs w:val="24"/>
          <w:vertAlign w:val="superscript"/>
          <w:rtl/>
        </w:rPr>
        <w:footnoteReference w:customMarkFollows="1" w:id="98"/>
        <w:t>98</w:t>
      </w:r>
      <w:r>
        <w:rPr>
          <w:rFonts w:ascii="David" w:hAnsi="David" w:cs="David"/>
          <w:color w:val="000000"/>
          <w:sz w:val="24"/>
          <w:szCs w:val="24"/>
          <w:rtl/>
        </w:rPr>
        <w:t>, ויש סוברים שאף כשאינם מקודשים</w:t>
      </w:r>
      <w:r>
        <w:rPr>
          <w:rFonts w:ascii="David" w:hAnsi="David" w:cs="David"/>
          <w:color w:val="0000FF"/>
          <w:sz w:val="24"/>
          <w:szCs w:val="24"/>
          <w:vertAlign w:val="superscript"/>
          <w:rtl/>
        </w:rPr>
        <w:footnoteReference w:customMarkFollows="1" w:id="99"/>
        <w:t>99</w:t>
      </w:r>
      <w:r>
        <w:rPr>
          <w:rFonts w:ascii="David" w:hAnsi="David" w:cs="David"/>
          <w:color w:val="000000"/>
          <w:sz w:val="24"/>
          <w:szCs w:val="24"/>
          <w:rtl/>
        </w:rPr>
        <w:t xml:space="preserve"> - אין השקה מועלת בהם, והם חשובים מים שאובים*, לענין טבילה בהם</w:t>
      </w:r>
      <w:r>
        <w:rPr>
          <w:rFonts w:ascii="David" w:hAnsi="David" w:cs="David"/>
          <w:color w:val="0000FF"/>
          <w:sz w:val="24"/>
          <w:szCs w:val="24"/>
          <w:vertAlign w:val="superscript"/>
          <w:rtl/>
        </w:rPr>
        <w:footnoteReference w:customMarkFollows="1" w:id="100"/>
        <w:t>100</w:t>
      </w:r>
      <w:r>
        <w:rPr>
          <w:rFonts w:ascii="David" w:hAnsi="David" w:cs="David"/>
          <w:color w:val="000000"/>
          <w:sz w:val="24"/>
          <w:szCs w:val="24"/>
          <w:rtl/>
        </w:rPr>
        <w:t>, וכן אין השקה מועילה לטהרם מטומאה אחרת שנטמאו בה</w:t>
      </w:r>
      <w:r>
        <w:rPr>
          <w:rFonts w:ascii="David" w:hAnsi="David" w:cs="David"/>
          <w:color w:val="0000FF"/>
          <w:sz w:val="24"/>
          <w:szCs w:val="24"/>
          <w:vertAlign w:val="superscript"/>
          <w:rtl/>
        </w:rPr>
        <w:footnoteReference w:customMarkFollows="1" w:id="101"/>
        <w:t>101</w:t>
      </w:r>
      <w:r>
        <w:rPr>
          <w:rFonts w:ascii="David" w:hAnsi="David" w:cs="David"/>
          <w:color w:val="000000"/>
          <w:sz w:val="24"/>
          <w:szCs w:val="24"/>
          <w:rtl/>
        </w:rPr>
        <w:t>. על טעם הדבר, ע"ע השקה</w:t>
      </w:r>
      <w:r>
        <w:rPr>
          <w:rFonts w:ascii="David" w:hAnsi="David" w:cs="David"/>
          <w:color w:val="0000FF"/>
          <w:sz w:val="24"/>
          <w:szCs w:val="24"/>
          <w:vertAlign w:val="superscript"/>
          <w:rtl/>
        </w:rPr>
        <w:footnoteReference w:customMarkFollows="1" w:id="102"/>
        <w:t>102</w:t>
      </w:r>
      <w:r>
        <w:rPr>
          <w:rFonts w:ascii="David" w:hAnsi="David" w:cs="David"/>
          <w:color w:val="000000"/>
          <w:sz w:val="24"/>
          <w:szCs w:val="24"/>
          <w:rtl/>
        </w:rPr>
        <w:t xml:space="preserve">. ולכן כלי טמא שהיו בו מי חטאת, ולא </w:t>
      </w:r>
    </w:p>
    <w:p w14:paraId="6B5F862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רבו מי המקוה על מי החטאת, והטבילו - שאילו היו בו מים שאובים*, היתה הטבילה עולה לו, שהשקת המים למקוה וטהרת הכלי באים כאחת</w:t>
      </w:r>
      <w:r>
        <w:rPr>
          <w:rFonts w:ascii="David" w:hAnsi="David" w:cs="David"/>
          <w:color w:val="0000FF"/>
          <w:sz w:val="24"/>
          <w:szCs w:val="24"/>
          <w:vertAlign w:val="superscript"/>
          <w:rtl/>
        </w:rPr>
        <w:footnoteReference w:customMarkFollows="1" w:id="103"/>
        <w:t>103</w:t>
      </w:r>
      <w:r>
        <w:rPr>
          <w:rFonts w:ascii="David" w:hAnsi="David" w:cs="David"/>
          <w:color w:val="000000"/>
          <w:sz w:val="24"/>
          <w:szCs w:val="24"/>
          <w:rtl/>
        </w:rPr>
        <w:t xml:space="preserve"> - אין הטבילה עולה לו, שכיון שאין השקה מועלת למי חטאת, נמצא שתוך הכלי לא בא במי המקוה</w:t>
      </w:r>
      <w:r>
        <w:rPr>
          <w:rFonts w:ascii="David" w:hAnsi="David" w:cs="David"/>
          <w:color w:val="0000FF"/>
          <w:sz w:val="24"/>
          <w:szCs w:val="24"/>
          <w:vertAlign w:val="superscript"/>
          <w:rtl/>
        </w:rPr>
        <w:footnoteReference w:customMarkFollows="1" w:id="104"/>
        <w:t>104</w:t>
      </w:r>
      <w:r>
        <w:rPr>
          <w:rFonts w:ascii="David" w:hAnsi="David" w:cs="David"/>
          <w:color w:val="000000"/>
          <w:sz w:val="24"/>
          <w:szCs w:val="24"/>
          <w:rtl/>
        </w:rPr>
        <w:t>. על דין השקה במי חטאת, לטהרם מטומאת מי חטאת, עי' להלן: לטמא אחרים</w:t>
      </w:r>
      <w:r>
        <w:rPr>
          <w:rFonts w:ascii="David" w:hAnsi="David" w:cs="David"/>
          <w:color w:val="0000FF"/>
          <w:sz w:val="24"/>
          <w:szCs w:val="24"/>
          <w:vertAlign w:val="superscript"/>
          <w:rtl/>
        </w:rPr>
        <w:footnoteReference w:customMarkFollows="1" w:id="105"/>
        <w:t>105</w:t>
      </w:r>
      <w:r>
        <w:rPr>
          <w:rFonts w:ascii="David" w:hAnsi="David" w:cs="David"/>
          <w:color w:val="000000"/>
          <w:sz w:val="24"/>
          <w:szCs w:val="24"/>
          <w:rtl/>
        </w:rPr>
        <w:t xml:space="preserve">. </w:t>
      </w:r>
    </w:p>
    <w:p w14:paraId="4AAA47C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כלי שתוכו טהור וגבו טמא מדרבנן</w:t>
      </w:r>
      <w:r>
        <w:rPr>
          <w:rFonts w:ascii="David" w:hAnsi="David" w:cs="David"/>
          <w:color w:val="0000FF"/>
          <w:sz w:val="24"/>
          <w:szCs w:val="24"/>
          <w:vertAlign w:val="superscript"/>
          <w:rtl/>
        </w:rPr>
        <w:footnoteReference w:customMarkFollows="1" w:id="106"/>
        <w:t>106</w:t>
      </w:r>
      <w:r>
        <w:rPr>
          <w:rFonts w:ascii="David" w:hAnsi="David" w:cs="David"/>
          <w:color w:val="000000"/>
          <w:sz w:val="24"/>
          <w:szCs w:val="24"/>
          <w:rtl/>
        </w:rPr>
        <w:t>, שהיו בתוכו מי חטאת, ובא להטבילו עמהם, שצריך שיכנסו בו מים עד שירבו מי המקוה על מי חטאת, שאם לא כן, חוששים שמא יחוס על מי החטאת, ולא יטביל את שפת הכלי, כדי שלא יתערבו בהם מים ויפסלו</w:t>
      </w:r>
      <w:r>
        <w:rPr>
          <w:rFonts w:ascii="David" w:hAnsi="David" w:cs="David"/>
          <w:color w:val="0000FF"/>
          <w:sz w:val="24"/>
          <w:szCs w:val="24"/>
          <w:vertAlign w:val="superscript"/>
          <w:rtl/>
        </w:rPr>
        <w:footnoteReference w:customMarkFollows="1" w:id="107"/>
        <w:t>107</w:t>
      </w:r>
      <w:r>
        <w:rPr>
          <w:rFonts w:ascii="David" w:hAnsi="David" w:cs="David"/>
          <w:color w:val="000000"/>
          <w:sz w:val="24"/>
          <w:szCs w:val="24"/>
          <w:rtl/>
        </w:rPr>
        <w:t>, ולכך גזרו להטביל את כולו ולפסול בכך את המים, ע"ע טבילה</w:t>
      </w:r>
      <w:r>
        <w:rPr>
          <w:rFonts w:ascii="David" w:hAnsi="David" w:cs="David"/>
          <w:color w:val="0000FF"/>
          <w:sz w:val="24"/>
          <w:szCs w:val="24"/>
          <w:vertAlign w:val="superscript"/>
          <w:rtl/>
        </w:rPr>
        <w:footnoteReference w:customMarkFollows="1" w:id="108"/>
        <w:t>108</w:t>
      </w:r>
      <w:r>
        <w:rPr>
          <w:rFonts w:ascii="David" w:hAnsi="David" w:cs="David"/>
          <w:color w:val="000000"/>
          <w:sz w:val="24"/>
          <w:szCs w:val="24"/>
          <w:rtl/>
        </w:rPr>
        <w:t>. וכתבו ראשונים, שאף כשיש בתוכו מים שעדיין לא נתקדשו, גזרו שצריך שירבו מי המקוה על המים, שאף בהם שייך לגזור שמא יחוס עליהם, שמא לא ימצא מים- חיים*</w:t>
      </w:r>
      <w:r>
        <w:rPr>
          <w:rFonts w:ascii="David" w:hAnsi="David" w:cs="David"/>
          <w:color w:val="0000FF"/>
          <w:sz w:val="24"/>
          <w:szCs w:val="24"/>
          <w:vertAlign w:val="superscript"/>
          <w:rtl/>
        </w:rPr>
        <w:footnoteReference w:customMarkFollows="1" w:id="109"/>
        <w:t>109</w:t>
      </w:r>
      <w:r>
        <w:rPr>
          <w:rFonts w:ascii="David" w:hAnsi="David" w:cs="David"/>
          <w:color w:val="000000"/>
          <w:sz w:val="24"/>
          <w:szCs w:val="24"/>
          <w:rtl/>
        </w:rPr>
        <w:t xml:space="preserve">. </w:t>
      </w:r>
    </w:p>
    <w:p w14:paraId="0191882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[למעלות]</w:t>
      </w:r>
    </w:p>
    <w:p w14:paraId="4721CDC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כלי שנטמאו אחוריו במשקים, שלא נטמא תוכו</w:t>
      </w:r>
      <w:r>
        <w:rPr>
          <w:rFonts w:ascii="David" w:hAnsi="David" w:cs="David"/>
          <w:color w:val="0000FF"/>
          <w:sz w:val="24"/>
          <w:szCs w:val="24"/>
          <w:vertAlign w:val="superscript"/>
          <w:rtl/>
        </w:rPr>
        <w:footnoteReference w:customMarkFollows="1" w:id="110"/>
        <w:t>110</w:t>
      </w:r>
      <w:r>
        <w:rPr>
          <w:rFonts w:ascii="David" w:hAnsi="David" w:cs="David"/>
          <w:color w:val="000000"/>
          <w:sz w:val="24"/>
          <w:szCs w:val="24"/>
          <w:rtl/>
        </w:rPr>
        <w:t>, ולענין קודש נטמא אף תוכו</w:t>
      </w:r>
      <w:r>
        <w:rPr>
          <w:rFonts w:ascii="David" w:hAnsi="David" w:cs="David"/>
          <w:color w:val="0000FF"/>
          <w:sz w:val="24"/>
          <w:szCs w:val="24"/>
          <w:vertAlign w:val="superscript"/>
          <w:rtl/>
        </w:rPr>
        <w:footnoteReference w:customMarkFollows="1" w:id="111"/>
        <w:t>111</w:t>
      </w:r>
      <w:r>
        <w:rPr>
          <w:rFonts w:ascii="David" w:hAnsi="David" w:cs="David"/>
          <w:color w:val="000000"/>
          <w:sz w:val="24"/>
          <w:szCs w:val="24"/>
          <w:rtl/>
        </w:rPr>
        <w:t>, גם בכלי של מי חטאת, נטמא אף תוכו</w:t>
      </w:r>
      <w:r>
        <w:rPr>
          <w:rFonts w:ascii="David" w:hAnsi="David" w:cs="David"/>
          <w:color w:val="0000FF"/>
          <w:sz w:val="24"/>
          <w:szCs w:val="24"/>
          <w:vertAlign w:val="superscript"/>
          <w:rtl/>
        </w:rPr>
        <w:footnoteReference w:customMarkFollows="1" w:id="112"/>
        <w:t>112</w:t>
      </w:r>
      <w:r>
        <w:rPr>
          <w:rFonts w:ascii="David" w:hAnsi="David" w:cs="David"/>
          <w:color w:val="000000"/>
          <w:sz w:val="24"/>
          <w:szCs w:val="24"/>
          <w:rtl/>
        </w:rPr>
        <w:t>, וכתבו ראשונים, שדוקא לענין מים מקודשים נטמא תוכו, אבל לענין מים שאינם מקודשים, דינו כמו חולין, שאם נטמאו אחוריו לא נטמא תוכו</w:t>
      </w:r>
      <w:r>
        <w:rPr>
          <w:rFonts w:ascii="David" w:hAnsi="David" w:cs="David"/>
          <w:color w:val="0000FF"/>
          <w:sz w:val="24"/>
          <w:szCs w:val="24"/>
          <w:vertAlign w:val="superscript"/>
          <w:rtl/>
        </w:rPr>
        <w:footnoteReference w:customMarkFollows="1" w:id="113"/>
        <w:t>113</w:t>
      </w:r>
      <w:r>
        <w:rPr>
          <w:rFonts w:ascii="David" w:hAnsi="David" w:cs="David"/>
          <w:color w:val="000000"/>
          <w:sz w:val="24"/>
          <w:szCs w:val="24"/>
          <w:rtl/>
        </w:rPr>
        <w:t>, ויש שכתבו בדעת ראשונים, שאף לענין מים שאינם מקודשים, אם נטמאו אחוריו נטמא תוכו</w:t>
      </w:r>
      <w:r>
        <w:rPr>
          <w:rFonts w:ascii="David" w:hAnsi="David" w:cs="David"/>
          <w:color w:val="0000FF"/>
          <w:sz w:val="24"/>
          <w:szCs w:val="24"/>
          <w:vertAlign w:val="superscript"/>
          <w:rtl/>
        </w:rPr>
        <w:footnoteReference w:customMarkFollows="1" w:id="114"/>
        <w:t>114</w:t>
      </w:r>
      <w:r>
        <w:rPr>
          <w:rFonts w:ascii="David" w:hAnsi="David" w:cs="David"/>
          <w:color w:val="000000"/>
          <w:sz w:val="24"/>
          <w:szCs w:val="24"/>
          <w:rtl/>
        </w:rPr>
        <w:t>. על שאר מעלות שעשו בחטאת, כגון שאין מונים ראשון ושני בחטאת, ושמי שנטמאו ידיו נטמא כל גופו, אם עשאון אף לענין מים שאינם מקודשים, ע"ע מעלות</w:t>
      </w:r>
      <w:r>
        <w:rPr>
          <w:rFonts w:ascii="David" w:hAnsi="David" w:cs="David"/>
          <w:color w:val="0000FF"/>
          <w:sz w:val="24"/>
          <w:szCs w:val="24"/>
          <w:vertAlign w:val="superscript"/>
          <w:rtl/>
        </w:rPr>
        <w:footnoteReference w:customMarkFollows="1" w:id="115"/>
        <w:t>115</w:t>
      </w:r>
      <w:r>
        <w:rPr>
          <w:rFonts w:ascii="David" w:hAnsi="David" w:cs="David"/>
          <w:color w:val="000000"/>
          <w:sz w:val="24"/>
          <w:szCs w:val="24"/>
          <w:rtl/>
        </w:rPr>
        <w:t xml:space="preserve">, על הסוברים שחילקו בין מים מקודשים למים שאינם מקודשים, לענין קבלת טומאה בנשיאתם על ידי טמא, ע"ע הנ"ל. </w:t>
      </w:r>
    </w:p>
    <w:p w14:paraId="76DF7A2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על הבא ראשו ורובו במי חטאת, שנטמא, ועל הסוברים שדוקא במים שנתמלאו לחטאת, אבל הבא במים שנתקדשו לחטאת אינו נטמא, ע"ע שמנה עשר דבר. </w:t>
      </w:r>
    </w:p>
    <w:p w14:paraId="765DCD9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[מהותו]</w:t>
      </w:r>
    </w:p>
    <w:p w14:paraId="07A5B05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ב. המילוי.</w:t>
      </w:r>
      <w:r>
        <w:rPr>
          <w:rFonts w:ascii="David" w:hAnsi="David" w:cs="David"/>
          <w:color w:val="000000"/>
          <w:sz w:val="24"/>
          <w:szCs w:val="24"/>
          <w:rtl/>
        </w:rPr>
        <w:t xml:space="preserve"> שאיבת מי החטאת מן המעיין קודם שמקדשים אותם בנתינת האפר</w:t>
      </w:r>
      <w:r>
        <w:rPr>
          <w:rFonts w:ascii="David" w:hAnsi="David" w:cs="David"/>
          <w:color w:val="0000FF"/>
          <w:sz w:val="24"/>
          <w:szCs w:val="24"/>
          <w:vertAlign w:val="superscript"/>
          <w:rtl/>
        </w:rPr>
        <w:footnoteReference w:customMarkFollows="1" w:id="116"/>
        <w:t>116</w:t>
      </w:r>
      <w:r>
        <w:rPr>
          <w:rFonts w:ascii="David" w:hAnsi="David" w:cs="David"/>
          <w:color w:val="000000"/>
          <w:sz w:val="24"/>
          <w:szCs w:val="24"/>
          <w:rtl/>
        </w:rPr>
        <w:t>, קרויה בלשון חז"ל: מילוי</w:t>
      </w:r>
      <w:r>
        <w:rPr>
          <w:rFonts w:ascii="David" w:hAnsi="David" w:cs="David"/>
          <w:color w:val="0000FF"/>
          <w:sz w:val="24"/>
          <w:szCs w:val="24"/>
          <w:vertAlign w:val="superscript"/>
          <w:rtl/>
        </w:rPr>
        <w:footnoteReference w:customMarkFollows="1" w:id="117"/>
        <w:t>117</w:t>
      </w:r>
      <w:r>
        <w:rPr>
          <w:rFonts w:ascii="David" w:hAnsi="David" w:cs="David"/>
          <w:color w:val="000000"/>
          <w:sz w:val="24"/>
          <w:szCs w:val="24"/>
          <w:rtl/>
        </w:rPr>
        <w:t>, והוא האמור בכתוב: ונתן עליו מים חיים אל כלי</w:t>
      </w:r>
      <w:r>
        <w:rPr>
          <w:rFonts w:ascii="David" w:hAnsi="David" w:cs="David"/>
          <w:color w:val="0000FF"/>
          <w:sz w:val="24"/>
          <w:szCs w:val="24"/>
          <w:vertAlign w:val="superscript"/>
          <w:rtl/>
        </w:rPr>
        <w:footnoteReference w:customMarkFollows="1" w:id="118"/>
        <w:t>118</w:t>
      </w:r>
      <w:r>
        <w:rPr>
          <w:rFonts w:ascii="David" w:hAnsi="David" w:cs="David"/>
          <w:color w:val="000000"/>
          <w:sz w:val="24"/>
          <w:szCs w:val="24"/>
          <w:rtl/>
        </w:rPr>
        <w:t>, שנתינה זו היא המילוי מן המעיין לכלי</w:t>
      </w:r>
      <w:r>
        <w:rPr>
          <w:rFonts w:ascii="David" w:hAnsi="David" w:cs="David"/>
          <w:color w:val="0000FF"/>
          <w:sz w:val="24"/>
          <w:szCs w:val="24"/>
          <w:vertAlign w:val="superscript"/>
          <w:rtl/>
        </w:rPr>
        <w:footnoteReference w:customMarkFollows="1" w:id="119"/>
        <w:t>119</w:t>
      </w:r>
      <w:r>
        <w:rPr>
          <w:rFonts w:ascii="David" w:hAnsi="David" w:cs="David"/>
          <w:color w:val="000000"/>
          <w:sz w:val="24"/>
          <w:szCs w:val="24"/>
          <w:rtl/>
        </w:rPr>
        <w:t>. על התנאים להכשרת המילוי והדברים הפוסלים בו, עי' להלן. על המקור לכך שמילוי המים קודם לנתינת האפר בכלי, אף על פי שבכתוב הוקדם האפר למים</w:t>
      </w:r>
      <w:r>
        <w:rPr>
          <w:rFonts w:ascii="David" w:hAnsi="David" w:cs="David"/>
          <w:color w:val="0000FF"/>
          <w:sz w:val="24"/>
          <w:szCs w:val="24"/>
          <w:vertAlign w:val="superscript"/>
          <w:rtl/>
        </w:rPr>
        <w:footnoteReference w:customMarkFollows="1" w:id="120"/>
        <w:t>120</w:t>
      </w:r>
      <w:r>
        <w:rPr>
          <w:rFonts w:ascii="David" w:hAnsi="David" w:cs="David"/>
          <w:color w:val="000000"/>
          <w:sz w:val="24"/>
          <w:szCs w:val="24"/>
          <w:rtl/>
        </w:rPr>
        <w:t>, ועל הסוברים שבדיעבד, אף אם הקדים נתינת האפר כשר, עי' להלן: הקידוש</w:t>
      </w:r>
      <w:r>
        <w:rPr>
          <w:rFonts w:ascii="David" w:hAnsi="David" w:cs="David"/>
          <w:color w:val="0000FF"/>
          <w:sz w:val="24"/>
          <w:szCs w:val="24"/>
          <w:vertAlign w:val="superscript"/>
          <w:rtl/>
        </w:rPr>
        <w:footnoteReference w:customMarkFollows="1" w:id="121"/>
        <w:t>121</w:t>
      </w:r>
      <w:r>
        <w:rPr>
          <w:rFonts w:ascii="David" w:hAnsi="David" w:cs="David"/>
          <w:color w:val="000000"/>
          <w:sz w:val="24"/>
          <w:szCs w:val="24"/>
          <w:rtl/>
        </w:rPr>
        <w:t>. על מילוי המים שהיו ממלאים כדי להזות על הכהן השורף את הפרה</w:t>
      </w:r>
      <w:r>
        <w:rPr>
          <w:rFonts w:ascii="David" w:hAnsi="David" w:cs="David"/>
          <w:color w:val="0000FF"/>
          <w:sz w:val="24"/>
          <w:szCs w:val="24"/>
          <w:vertAlign w:val="superscript"/>
          <w:rtl/>
        </w:rPr>
        <w:footnoteReference w:customMarkFollows="1" w:id="122"/>
        <w:t>122</w:t>
      </w:r>
      <w:r>
        <w:rPr>
          <w:rFonts w:ascii="David" w:hAnsi="David" w:cs="David"/>
          <w:color w:val="000000"/>
          <w:sz w:val="24"/>
          <w:szCs w:val="24"/>
          <w:rtl/>
        </w:rPr>
        <w:t xml:space="preserve">, והמעלות שעשו במילוי זה, עי' להלן: לטהרת השורף את הפרה. </w:t>
      </w:r>
    </w:p>
    <w:p w14:paraId="7A6BBFC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[החשוב מילוי]</w:t>
      </w:r>
    </w:p>
    <w:p w14:paraId="12A8B63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מהותו של המילוי, כתבו אחרונים שהיא ביאת המים לכלי - ואפילו בעודו במעיין</w:t>
      </w:r>
      <w:r>
        <w:rPr>
          <w:rFonts w:ascii="David" w:hAnsi="David" w:cs="David"/>
          <w:color w:val="0000FF"/>
          <w:sz w:val="24"/>
          <w:szCs w:val="24"/>
          <w:vertAlign w:val="superscript"/>
          <w:rtl/>
        </w:rPr>
        <w:footnoteReference w:customMarkFollows="1" w:id="123"/>
        <w:t>123</w:t>
      </w:r>
      <w:r>
        <w:rPr>
          <w:rFonts w:ascii="David" w:hAnsi="David" w:cs="David"/>
          <w:color w:val="000000"/>
          <w:sz w:val="24"/>
          <w:szCs w:val="24"/>
          <w:rtl/>
        </w:rPr>
        <w:t xml:space="preserve"> - ולא עקירת המים מן המעיין הנעשית בהעלאת הכלי</w:t>
      </w:r>
      <w:r>
        <w:rPr>
          <w:rFonts w:ascii="David" w:hAnsi="David" w:cs="David"/>
          <w:color w:val="0000FF"/>
          <w:sz w:val="24"/>
          <w:szCs w:val="24"/>
          <w:vertAlign w:val="superscript"/>
          <w:rtl/>
        </w:rPr>
        <w:footnoteReference w:customMarkFollows="1" w:id="124"/>
        <w:t>124</w:t>
      </w:r>
      <w:r>
        <w:rPr>
          <w:rFonts w:ascii="David" w:hAnsi="David" w:cs="David"/>
          <w:color w:val="000000"/>
          <w:sz w:val="24"/>
          <w:szCs w:val="24"/>
          <w:rtl/>
        </w:rPr>
        <w:t>, ולפיכך, אם לא נתקיימו התנאים להכשרת המילוי בשעת ביאת המים לכלי אלא בשעת העלאתו מן המעיין - כגון שהכניס קטן את הכלי למים ונתמלא, והעלהו גדול מן המים, לסוברים שמילוי קטן פסול</w:t>
      </w:r>
      <w:r>
        <w:rPr>
          <w:rFonts w:ascii="David" w:hAnsi="David" w:cs="David"/>
          <w:color w:val="0000FF"/>
          <w:sz w:val="24"/>
          <w:szCs w:val="24"/>
          <w:vertAlign w:val="superscript"/>
          <w:rtl/>
        </w:rPr>
        <w:footnoteReference w:customMarkFollows="1" w:id="125"/>
        <w:t>125</w:t>
      </w:r>
      <w:r>
        <w:rPr>
          <w:rFonts w:ascii="David" w:hAnsi="David" w:cs="David"/>
          <w:color w:val="000000"/>
          <w:sz w:val="24"/>
          <w:szCs w:val="24"/>
          <w:rtl/>
        </w:rPr>
        <w:t xml:space="preserve"> - אין המילוי כשר</w:t>
      </w:r>
      <w:r>
        <w:rPr>
          <w:rFonts w:ascii="David" w:hAnsi="David" w:cs="David"/>
          <w:color w:val="0000FF"/>
          <w:sz w:val="24"/>
          <w:szCs w:val="24"/>
          <w:vertAlign w:val="superscript"/>
          <w:rtl/>
        </w:rPr>
        <w:footnoteReference w:customMarkFollows="1" w:id="126"/>
        <w:t>126</w:t>
      </w:r>
      <w:r>
        <w:rPr>
          <w:rFonts w:ascii="David" w:hAnsi="David" w:cs="David"/>
          <w:color w:val="000000"/>
          <w:sz w:val="24"/>
          <w:szCs w:val="24"/>
          <w:rtl/>
        </w:rPr>
        <w:t>, ולא עוד, אלא שהעלאתו מן המים אינה בכלל המילוי, ואם ארע בשעת ההעלאה דבר הפוסל את המילוי - כגון ששילשל גדול את הכלי ונתמלא, והעלהו קטן - אין המילוי נפסל מפני כך</w:t>
      </w:r>
      <w:r>
        <w:rPr>
          <w:rFonts w:ascii="David" w:hAnsi="David" w:cs="David"/>
          <w:color w:val="0000FF"/>
          <w:sz w:val="24"/>
          <w:szCs w:val="24"/>
          <w:vertAlign w:val="superscript"/>
          <w:rtl/>
        </w:rPr>
        <w:footnoteReference w:customMarkFollows="1" w:id="127"/>
        <w:t>127</w:t>
      </w:r>
      <w:r>
        <w:rPr>
          <w:rFonts w:ascii="David" w:hAnsi="David" w:cs="David"/>
          <w:color w:val="000000"/>
          <w:sz w:val="24"/>
          <w:szCs w:val="24"/>
          <w:rtl/>
        </w:rPr>
        <w:t>. ואף כשלא באו המים אלא לאויר הכלי - כשאין דבר חוצץ בינם לבין הכלי</w:t>
      </w:r>
      <w:r>
        <w:rPr>
          <w:rFonts w:ascii="David" w:hAnsi="David" w:cs="David"/>
          <w:color w:val="0000FF"/>
          <w:sz w:val="24"/>
          <w:szCs w:val="24"/>
          <w:vertAlign w:val="superscript"/>
          <w:rtl/>
        </w:rPr>
        <w:footnoteReference w:customMarkFollows="1" w:id="128"/>
        <w:t>128</w:t>
      </w:r>
      <w:r>
        <w:rPr>
          <w:rFonts w:ascii="David" w:hAnsi="David" w:cs="David"/>
          <w:color w:val="000000"/>
          <w:sz w:val="24"/>
          <w:szCs w:val="24"/>
          <w:rtl/>
        </w:rPr>
        <w:t xml:space="preserve"> - יש מן האחרונים שכתבו שחשוב כבר כמילוי, לפי שאויר כלי ככלי</w:t>
      </w:r>
      <w:r>
        <w:rPr>
          <w:rFonts w:ascii="David" w:hAnsi="David" w:cs="David"/>
          <w:color w:val="0000FF"/>
          <w:sz w:val="24"/>
          <w:szCs w:val="24"/>
          <w:vertAlign w:val="superscript"/>
          <w:rtl/>
        </w:rPr>
        <w:footnoteReference w:customMarkFollows="1" w:id="129"/>
        <w:t>129</w:t>
      </w:r>
      <w:r>
        <w:rPr>
          <w:rFonts w:ascii="David" w:hAnsi="David" w:cs="David"/>
          <w:color w:val="000000"/>
          <w:sz w:val="24"/>
          <w:szCs w:val="24"/>
          <w:rtl/>
        </w:rPr>
        <w:t>, ולפיכך אם נתן כלי פסול לקבלם לאחר שבאו לאויר הכלי הכשר, הרי זה מילוי כשר</w:t>
      </w:r>
      <w:r>
        <w:rPr>
          <w:rFonts w:ascii="David" w:hAnsi="David" w:cs="David"/>
          <w:color w:val="0000FF"/>
          <w:sz w:val="24"/>
          <w:szCs w:val="24"/>
          <w:vertAlign w:val="superscript"/>
          <w:rtl/>
        </w:rPr>
        <w:footnoteReference w:customMarkFollows="1" w:id="130"/>
        <w:t>130</w:t>
      </w:r>
      <w:r>
        <w:rPr>
          <w:rFonts w:ascii="David" w:hAnsi="David" w:cs="David"/>
          <w:color w:val="000000"/>
          <w:sz w:val="24"/>
          <w:szCs w:val="24"/>
          <w:rtl/>
        </w:rPr>
        <w:t xml:space="preserve"> - על הסוברים שמים שהורקו לאחר קבלתם בכלי, לכלי הפסול למילוי, נפסלו, עי' להלן</w:t>
      </w:r>
      <w:r>
        <w:rPr>
          <w:rFonts w:ascii="David" w:hAnsi="David" w:cs="David"/>
          <w:color w:val="0000FF"/>
          <w:sz w:val="24"/>
          <w:szCs w:val="24"/>
          <w:vertAlign w:val="superscript"/>
          <w:rtl/>
        </w:rPr>
        <w:footnoteReference w:customMarkFollows="1" w:id="131"/>
        <w:t>131</w:t>
      </w:r>
      <w:r>
        <w:rPr>
          <w:rFonts w:ascii="David" w:hAnsi="David" w:cs="David"/>
          <w:color w:val="000000"/>
          <w:sz w:val="24"/>
          <w:szCs w:val="24"/>
          <w:rtl/>
        </w:rPr>
        <w:t xml:space="preserve"> - ויש מן האחרונים שכתבו, שאין אומרים שאויר כלי ככלי, אלא לענין שאם באו המים לאויר כלי פסול, ולאחר מכן קיבלם בכלי כשר, אינו חשוב מילוי, לפי שפסקה חיותם משבאו מן המעיין לאויר הכלי הפסול</w:t>
      </w:r>
      <w:r>
        <w:rPr>
          <w:rFonts w:ascii="David" w:hAnsi="David" w:cs="David"/>
          <w:color w:val="0000FF"/>
          <w:sz w:val="24"/>
          <w:szCs w:val="24"/>
          <w:vertAlign w:val="superscript"/>
          <w:rtl/>
        </w:rPr>
        <w:footnoteReference w:customMarkFollows="1" w:id="132"/>
        <w:t>132</w:t>
      </w:r>
      <w:r>
        <w:rPr>
          <w:rFonts w:ascii="David" w:hAnsi="David" w:cs="David"/>
          <w:color w:val="000000"/>
          <w:sz w:val="24"/>
          <w:szCs w:val="24"/>
          <w:rtl/>
        </w:rPr>
        <w:t xml:space="preserve">, אבל עצם </w:t>
      </w:r>
    </w:p>
    <w:p w14:paraId="6D62568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ביאתם לאויר הכלי הכשר אינו חשוב מילוי, לפי שצריך שיהיו המים נוגעים בכלי ממש</w:t>
      </w:r>
      <w:r>
        <w:rPr>
          <w:rFonts w:ascii="David" w:hAnsi="David" w:cs="David"/>
          <w:color w:val="0000FF"/>
          <w:sz w:val="24"/>
          <w:szCs w:val="24"/>
          <w:vertAlign w:val="superscript"/>
          <w:rtl/>
        </w:rPr>
        <w:footnoteReference w:customMarkFollows="1" w:id="133"/>
        <w:t>133</w:t>
      </w:r>
      <w:r>
        <w:rPr>
          <w:rFonts w:ascii="David" w:hAnsi="David" w:cs="David"/>
          <w:color w:val="000000"/>
          <w:sz w:val="24"/>
          <w:szCs w:val="24"/>
          <w:rtl/>
        </w:rPr>
        <w:t>. ויש מן האחרונים שצידדו לומר בדעת תנאים, שאף אם לא נתקיימו התנאים להכשרת המילוי בשעת ביאת המים לכלי אלא בשעת העלאתו מן המעיין, המילוי כשר</w:t>
      </w:r>
      <w:r>
        <w:rPr>
          <w:rFonts w:ascii="David" w:hAnsi="David" w:cs="David"/>
          <w:color w:val="0000FF"/>
          <w:sz w:val="24"/>
          <w:szCs w:val="24"/>
          <w:vertAlign w:val="superscript"/>
          <w:rtl/>
        </w:rPr>
        <w:footnoteReference w:customMarkFollows="1" w:id="134"/>
        <w:t>134</w:t>
      </w:r>
      <w:r>
        <w:rPr>
          <w:rFonts w:ascii="David" w:hAnsi="David" w:cs="David"/>
          <w:color w:val="000000"/>
          <w:sz w:val="24"/>
          <w:szCs w:val="24"/>
          <w:rtl/>
        </w:rPr>
        <w:t>, וכתבו בדעתם, שכלי שנפל למעיין ונתמלא מאליו - שהמילוי פסול, מפני שצריך שיתמלא מכח האדם, לסוברים כן</w:t>
      </w:r>
      <w:r>
        <w:rPr>
          <w:rFonts w:ascii="David" w:hAnsi="David" w:cs="David"/>
          <w:color w:val="0000FF"/>
          <w:sz w:val="24"/>
          <w:szCs w:val="24"/>
          <w:vertAlign w:val="superscript"/>
          <w:rtl/>
        </w:rPr>
        <w:footnoteReference w:customMarkFollows="1" w:id="135"/>
        <w:t>135</w:t>
      </w:r>
      <w:r>
        <w:rPr>
          <w:rFonts w:ascii="David" w:hAnsi="David" w:cs="David"/>
          <w:color w:val="000000"/>
          <w:sz w:val="24"/>
          <w:szCs w:val="24"/>
          <w:rtl/>
        </w:rPr>
        <w:t xml:space="preserve"> - אם מעלהו בידו מן המעיין, חשוב ממלא מכוחו, וכשר</w:t>
      </w:r>
      <w:r>
        <w:rPr>
          <w:rFonts w:ascii="David" w:hAnsi="David" w:cs="David"/>
          <w:color w:val="0000FF"/>
          <w:sz w:val="24"/>
          <w:szCs w:val="24"/>
          <w:vertAlign w:val="superscript"/>
          <w:rtl/>
        </w:rPr>
        <w:footnoteReference w:customMarkFollows="1" w:id="136"/>
        <w:t>136</w:t>
      </w:r>
      <w:r>
        <w:rPr>
          <w:rFonts w:ascii="David" w:hAnsi="David" w:cs="David"/>
          <w:color w:val="000000"/>
          <w:sz w:val="24"/>
          <w:szCs w:val="24"/>
          <w:rtl/>
        </w:rPr>
        <w:t xml:space="preserve">. </w:t>
      </w:r>
    </w:p>
    <w:p w14:paraId="709E8C5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[כחלק מהקידוש]</w:t>
      </w:r>
    </w:p>
    <w:p w14:paraId="0D7B36B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המילוי, יש מן האחרונים שכתבו, שבכלל עבודת הקידוש הוא - היינו, שנתינת המים ונתינת האפר עבודה אחת הם וזקוקים זה לזה</w:t>
      </w:r>
      <w:r>
        <w:rPr>
          <w:rFonts w:ascii="David" w:hAnsi="David" w:cs="David"/>
          <w:color w:val="0000FF"/>
          <w:sz w:val="24"/>
          <w:szCs w:val="24"/>
          <w:vertAlign w:val="superscript"/>
          <w:rtl/>
        </w:rPr>
        <w:footnoteReference w:customMarkFollows="1" w:id="137"/>
        <w:t>137</w:t>
      </w:r>
      <w:r>
        <w:rPr>
          <w:rFonts w:ascii="David" w:hAnsi="David" w:cs="David"/>
          <w:color w:val="000000"/>
          <w:sz w:val="24"/>
          <w:szCs w:val="24"/>
          <w:rtl/>
        </w:rPr>
        <w:t xml:space="preserve"> - ולפיכך כמה פסולים שנאמרו בקידוש, פוסלים אף במילוי</w:t>
      </w:r>
      <w:r>
        <w:rPr>
          <w:rFonts w:ascii="David" w:hAnsi="David" w:cs="David"/>
          <w:color w:val="0000FF"/>
          <w:sz w:val="24"/>
          <w:szCs w:val="24"/>
          <w:vertAlign w:val="superscript"/>
          <w:rtl/>
        </w:rPr>
        <w:footnoteReference w:customMarkFollows="1" w:id="138"/>
        <w:t>138</w:t>
      </w:r>
      <w:r>
        <w:rPr>
          <w:rFonts w:ascii="David" w:hAnsi="David" w:cs="David"/>
          <w:color w:val="000000"/>
          <w:sz w:val="24"/>
          <w:szCs w:val="24"/>
          <w:rtl/>
        </w:rPr>
        <w:t>, ומהם שכתבו, שהיינו דוקא במילוי הכלי שבו נעשה הקידוש, אבל מילוי הכלי מן המעיין באופן שאינו מקדש באותו הכלי אלא מריקו לכלי אחר - שמן התורה כשר אף כשאינו מקדש באותו כלי שמילא בו</w:t>
      </w:r>
      <w:r>
        <w:rPr>
          <w:rFonts w:ascii="David" w:hAnsi="David" w:cs="David"/>
          <w:color w:val="0000FF"/>
          <w:sz w:val="24"/>
          <w:szCs w:val="24"/>
          <w:vertAlign w:val="superscript"/>
          <w:rtl/>
        </w:rPr>
        <w:footnoteReference w:customMarkFollows="1" w:id="139"/>
        <w:t>139</w:t>
      </w:r>
      <w:r>
        <w:rPr>
          <w:rFonts w:ascii="David" w:hAnsi="David" w:cs="David"/>
          <w:color w:val="000000"/>
          <w:sz w:val="24"/>
          <w:szCs w:val="24"/>
          <w:rtl/>
        </w:rPr>
        <w:t>, ויש סוברים שכשר אף מדרבנן</w:t>
      </w:r>
      <w:r>
        <w:rPr>
          <w:rFonts w:ascii="David" w:hAnsi="David" w:cs="David"/>
          <w:color w:val="0000FF"/>
          <w:sz w:val="24"/>
          <w:szCs w:val="24"/>
          <w:vertAlign w:val="superscript"/>
          <w:rtl/>
        </w:rPr>
        <w:footnoteReference w:customMarkFollows="1" w:id="140"/>
        <w:t>140</w:t>
      </w:r>
      <w:r>
        <w:rPr>
          <w:rFonts w:ascii="David" w:hAnsi="David" w:cs="David"/>
          <w:color w:val="000000"/>
          <w:sz w:val="24"/>
          <w:szCs w:val="24"/>
          <w:rtl/>
        </w:rPr>
        <w:t xml:space="preserve"> - אינו בכלל הקידוש, ואינו בא אלא לשם הכשרת המים לקידוש, ולפיכך אינו נפסל בפסולי הקידוש</w:t>
      </w:r>
      <w:r>
        <w:rPr>
          <w:rFonts w:ascii="David" w:hAnsi="David" w:cs="David"/>
          <w:color w:val="0000FF"/>
          <w:sz w:val="24"/>
          <w:szCs w:val="24"/>
          <w:vertAlign w:val="superscript"/>
          <w:rtl/>
        </w:rPr>
        <w:footnoteReference w:customMarkFollows="1" w:id="141"/>
        <w:t>141</w:t>
      </w:r>
      <w:r>
        <w:rPr>
          <w:rFonts w:ascii="David" w:hAnsi="David" w:cs="David"/>
          <w:color w:val="000000"/>
          <w:sz w:val="24"/>
          <w:szCs w:val="24"/>
          <w:rtl/>
        </w:rPr>
        <w:t xml:space="preserve">. </w:t>
      </w:r>
    </w:p>
    <w:p w14:paraId="4AEF7C4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[קודם שריפת הפרה]</w:t>
      </w:r>
    </w:p>
    <w:p w14:paraId="607F693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אין ממלאים את המים עד שתישרף הפרה ותיעשה אפר</w:t>
      </w:r>
      <w:r>
        <w:rPr>
          <w:rFonts w:ascii="David" w:hAnsi="David" w:cs="David"/>
          <w:color w:val="0000FF"/>
          <w:sz w:val="24"/>
          <w:szCs w:val="24"/>
          <w:vertAlign w:val="superscript"/>
          <w:rtl/>
        </w:rPr>
        <w:footnoteReference w:customMarkFollows="1" w:id="142"/>
        <w:t>142</w:t>
      </w:r>
      <w:r>
        <w:rPr>
          <w:rFonts w:ascii="David" w:hAnsi="David" w:cs="David"/>
          <w:color w:val="000000"/>
          <w:sz w:val="24"/>
          <w:szCs w:val="24"/>
          <w:rtl/>
        </w:rPr>
        <w:t xml:space="preserve"> - שתישרף כולה, ויהיה אפרה כשר לאפר-חטאת*</w:t>
      </w:r>
      <w:r>
        <w:rPr>
          <w:rFonts w:ascii="David" w:hAnsi="David" w:cs="David"/>
          <w:color w:val="0000FF"/>
          <w:sz w:val="24"/>
          <w:szCs w:val="24"/>
          <w:vertAlign w:val="superscript"/>
          <w:rtl/>
        </w:rPr>
        <w:footnoteReference w:customMarkFollows="1" w:id="143"/>
        <w:t>143</w:t>
      </w:r>
      <w:r>
        <w:rPr>
          <w:rFonts w:ascii="David" w:hAnsi="David" w:cs="David"/>
          <w:color w:val="000000"/>
          <w:sz w:val="24"/>
          <w:szCs w:val="24"/>
          <w:rtl/>
        </w:rPr>
        <w:t xml:space="preserve"> - ואם מילאום קודם שנעשתה אפר, המילוי פסול</w:t>
      </w:r>
      <w:r>
        <w:rPr>
          <w:rFonts w:ascii="David" w:hAnsi="David" w:cs="David"/>
          <w:color w:val="0000FF"/>
          <w:sz w:val="24"/>
          <w:szCs w:val="24"/>
          <w:vertAlign w:val="superscript"/>
          <w:rtl/>
        </w:rPr>
        <w:footnoteReference w:customMarkFollows="1" w:id="144"/>
        <w:t>144</w:t>
      </w:r>
      <w:r>
        <w:rPr>
          <w:rFonts w:ascii="David" w:hAnsi="David" w:cs="David"/>
          <w:color w:val="000000"/>
          <w:sz w:val="24"/>
          <w:szCs w:val="24"/>
          <w:rtl/>
        </w:rPr>
        <w:t>, שכיון שאין לו באותה שעה אפר חטאת לקדש בו, אינו חשוב מילוי</w:t>
      </w:r>
      <w:r>
        <w:rPr>
          <w:rFonts w:ascii="David" w:hAnsi="David" w:cs="David"/>
          <w:color w:val="0000FF"/>
          <w:sz w:val="24"/>
          <w:szCs w:val="24"/>
          <w:vertAlign w:val="superscript"/>
          <w:rtl/>
        </w:rPr>
        <w:footnoteReference w:customMarkFollows="1" w:id="145"/>
        <w:t>145</w:t>
      </w:r>
      <w:r>
        <w:rPr>
          <w:rFonts w:ascii="David" w:hAnsi="David" w:cs="David"/>
          <w:color w:val="000000"/>
          <w:sz w:val="24"/>
          <w:szCs w:val="24"/>
          <w:rtl/>
        </w:rPr>
        <w:t>, שצריך שיעשה המילוי לשם מי חטאת</w:t>
      </w:r>
      <w:r>
        <w:rPr>
          <w:rFonts w:ascii="David" w:hAnsi="David" w:cs="David"/>
          <w:color w:val="0000FF"/>
          <w:sz w:val="24"/>
          <w:szCs w:val="24"/>
          <w:vertAlign w:val="superscript"/>
          <w:rtl/>
        </w:rPr>
        <w:footnoteReference w:customMarkFollows="1" w:id="146"/>
        <w:t>146</w:t>
      </w:r>
      <w:r>
        <w:rPr>
          <w:rFonts w:ascii="David" w:hAnsi="David" w:cs="David"/>
          <w:color w:val="000000"/>
          <w:sz w:val="24"/>
          <w:szCs w:val="24"/>
          <w:rtl/>
        </w:rPr>
        <w:t>, וקודם שראוי לקדש אין שייך שיהא מילוי לשמה</w:t>
      </w:r>
      <w:r>
        <w:rPr>
          <w:rFonts w:ascii="David" w:hAnsi="David" w:cs="David"/>
          <w:color w:val="0000FF"/>
          <w:sz w:val="24"/>
          <w:szCs w:val="24"/>
          <w:vertAlign w:val="superscript"/>
          <w:rtl/>
        </w:rPr>
        <w:footnoteReference w:customMarkFollows="1" w:id="147"/>
        <w:t>147</w:t>
      </w:r>
      <w:r>
        <w:rPr>
          <w:rFonts w:ascii="David" w:hAnsi="David" w:cs="David"/>
          <w:color w:val="000000"/>
          <w:sz w:val="24"/>
          <w:szCs w:val="24"/>
          <w:rtl/>
        </w:rPr>
        <w:t>, ויש סוברים בדעת ראשונים, שדוקא מילוי בכלי שמקדש בו פסול קודם שריפת הפרה, לפי שלדעתם מילוי זה בכלל עבודת הקידוש הוא</w:t>
      </w:r>
      <w:r>
        <w:rPr>
          <w:rFonts w:ascii="David" w:hAnsi="David" w:cs="David"/>
          <w:color w:val="0000FF"/>
          <w:sz w:val="24"/>
          <w:szCs w:val="24"/>
          <w:vertAlign w:val="superscript"/>
          <w:rtl/>
        </w:rPr>
        <w:footnoteReference w:customMarkFollows="1" w:id="148"/>
        <w:t>148</w:t>
      </w:r>
      <w:r>
        <w:rPr>
          <w:rFonts w:ascii="David" w:hAnsi="David" w:cs="David"/>
          <w:color w:val="000000"/>
          <w:sz w:val="24"/>
          <w:szCs w:val="24"/>
          <w:rtl/>
        </w:rPr>
        <w:t>, וכשם שאין מקדשים עד שתישרף הפרה ותיעשה אפר</w:t>
      </w:r>
      <w:r>
        <w:rPr>
          <w:rFonts w:ascii="David" w:hAnsi="David" w:cs="David"/>
          <w:color w:val="0000FF"/>
          <w:sz w:val="24"/>
          <w:szCs w:val="24"/>
          <w:vertAlign w:val="superscript"/>
          <w:rtl/>
        </w:rPr>
        <w:footnoteReference w:customMarkFollows="1" w:id="149"/>
        <w:t>149</w:t>
      </w:r>
      <w:r>
        <w:rPr>
          <w:rFonts w:ascii="David" w:hAnsi="David" w:cs="David"/>
          <w:color w:val="000000"/>
          <w:sz w:val="24"/>
          <w:szCs w:val="24"/>
          <w:rtl/>
        </w:rPr>
        <w:t>, כך אין ממלאים באותה שעה, אבל מילוי בכלי שאינו מקדש בו</w:t>
      </w:r>
      <w:r>
        <w:rPr>
          <w:rFonts w:ascii="David" w:hAnsi="David" w:cs="David"/>
          <w:color w:val="0000FF"/>
          <w:sz w:val="24"/>
          <w:szCs w:val="24"/>
          <w:vertAlign w:val="superscript"/>
          <w:rtl/>
        </w:rPr>
        <w:footnoteReference w:customMarkFollows="1" w:id="150"/>
        <w:t>150</w:t>
      </w:r>
      <w:r>
        <w:rPr>
          <w:rFonts w:ascii="David" w:hAnsi="David" w:cs="David"/>
          <w:color w:val="000000"/>
          <w:sz w:val="24"/>
          <w:szCs w:val="24"/>
          <w:rtl/>
        </w:rPr>
        <w:t>, שלדעתם אינו בא אלא להכשרת המים</w:t>
      </w:r>
      <w:r>
        <w:rPr>
          <w:rFonts w:ascii="David" w:hAnsi="David" w:cs="David"/>
          <w:color w:val="0000FF"/>
          <w:sz w:val="24"/>
          <w:szCs w:val="24"/>
          <w:vertAlign w:val="superscript"/>
          <w:rtl/>
        </w:rPr>
        <w:footnoteReference w:customMarkFollows="1" w:id="151"/>
        <w:t>151</w:t>
      </w:r>
      <w:r>
        <w:rPr>
          <w:rFonts w:ascii="David" w:hAnsi="David" w:cs="David"/>
          <w:color w:val="000000"/>
          <w:sz w:val="24"/>
          <w:szCs w:val="24"/>
          <w:rtl/>
        </w:rPr>
        <w:t>, כשר הוא אף קודם שריפת הפרה</w:t>
      </w:r>
      <w:r>
        <w:rPr>
          <w:rFonts w:ascii="David" w:hAnsi="David" w:cs="David"/>
          <w:color w:val="0000FF"/>
          <w:sz w:val="24"/>
          <w:szCs w:val="24"/>
          <w:vertAlign w:val="superscript"/>
          <w:rtl/>
        </w:rPr>
        <w:footnoteReference w:customMarkFollows="1" w:id="152"/>
        <w:t>152</w:t>
      </w:r>
      <w:r>
        <w:rPr>
          <w:rFonts w:ascii="David" w:hAnsi="David" w:cs="David"/>
          <w:color w:val="000000"/>
          <w:sz w:val="24"/>
          <w:szCs w:val="24"/>
          <w:rtl/>
        </w:rPr>
        <w:t xml:space="preserve">. </w:t>
      </w:r>
    </w:p>
    <w:p w14:paraId="12F3358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[בלילה]</w:t>
      </w:r>
    </w:p>
    <w:p w14:paraId="17591C6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המילוי כשר אף בלילה</w:t>
      </w:r>
      <w:r>
        <w:rPr>
          <w:rFonts w:ascii="David" w:hAnsi="David" w:cs="David"/>
          <w:color w:val="0000FF"/>
          <w:sz w:val="24"/>
          <w:szCs w:val="24"/>
          <w:vertAlign w:val="superscript"/>
          <w:rtl/>
        </w:rPr>
        <w:footnoteReference w:customMarkFollows="1" w:id="153"/>
        <w:t>153</w:t>
      </w:r>
      <w:r>
        <w:rPr>
          <w:rFonts w:ascii="David" w:hAnsi="David" w:cs="David"/>
          <w:color w:val="000000"/>
          <w:sz w:val="24"/>
          <w:szCs w:val="24"/>
          <w:rtl/>
        </w:rPr>
        <w:t xml:space="preserve">, וכן שנינו </w:t>
      </w:r>
    </w:p>
    <w:p w14:paraId="50A3D3F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בתוספתא: כל מעשה פרה ביום, חוץ מאסיפת האפר והמילוי והקידוש</w:t>
      </w:r>
      <w:r>
        <w:rPr>
          <w:rFonts w:ascii="David" w:hAnsi="David" w:cs="David"/>
          <w:color w:val="0000FF"/>
          <w:sz w:val="24"/>
          <w:szCs w:val="24"/>
          <w:vertAlign w:val="superscript"/>
          <w:rtl/>
        </w:rPr>
        <w:footnoteReference w:customMarkFollows="1" w:id="154"/>
        <w:t>154</w:t>
      </w:r>
      <w:r>
        <w:rPr>
          <w:rFonts w:ascii="David" w:hAnsi="David" w:cs="David"/>
          <w:color w:val="000000"/>
          <w:sz w:val="24"/>
          <w:szCs w:val="24"/>
          <w:rtl/>
        </w:rPr>
        <w:t>, שנאמר: זאת חקת התורה</w:t>
      </w:r>
      <w:r>
        <w:rPr>
          <w:rFonts w:ascii="David" w:hAnsi="David" w:cs="David"/>
          <w:color w:val="0000FF"/>
          <w:sz w:val="24"/>
          <w:szCs w:val="24"/>
          <w:vertAlign w:val="superscript"/>
          <w:rtl/>
        </w:rPr>
        <w:footnoteReference w:customMarkFollows="1" w:id="155"/>
        <w:t>155</w:t>
      </w:r>
      <w:r>
        <w:rPr>
          <w:rFonts w:ascii="David" w:hAnsi="David" w:cs="David"/>
          <w:color w:val="000000"/>
          <w:sz w:val="24"/>
          <w:szCs w:val="24"/>
          <w:rtl/>
        </w:rPr>
        <w:t>, תורה אחת לכל עבודותיה</w:t>
      </w:r>
      <w:r>
        <w:rPr>
          <w:rFonts w:ascii="David" w:hAnsi="David" w:cs="David"/>
          <w:color w:val="0000FF"/>
          <w:sz w:val="24"/>
          <w:szCs w:val="24"/>
          <w:vertAlign w:val="superscript"/>
          <w:rtl/>
        </w:rPr>
        <w:footnoteReference w:customMarkFollows="1" w:id="156"/>
        <w:t>156</w:t>
      </w:r>
      <w:r>
        <w:rPr>
          <w:rFonts w:ascii="David" w:hAnsi="David" w:cs="David"/>
          <w:color w:val="000000"/>
          <w:sz w:val="24"/>
          <w:szCs w:val="24"/>
          <w:rtl/>
        </w:rPr>
        <w:t>, שהן פסולות בלילה כמו ההזאה</w:t>
      </w:r>
      <w:r>
        <w:rPr>
          <w:rFonts w:ascii="David" w:hAnsi="David" w:cs="David"/>
          <w:color w:val="0000FF"/>
          <w:sz w:val="24"/>
          <w:szCs w:val="24"/>
          <w:vertAlign w:val="superscript"/>
          <w:rtl/>
        </w:rPr>
        <w:footnoteReference w:customMarkFollows="1" w:id="157"/>
        <w:t>157</w:t>
      </w:r>
      <w:r>
        <w:rPr>
          <w:rFonts w:ascii="David" w:hAnsi="David" w:cs="David"/>
          <w:color w:val="000000"/>
          <w:sz w:val="24"/>
          <w:szCs w:val="24"/>
          <w:rtl/>
        </w:rPr>
        <w:t>, ומ"זאת" למדו למעט, שהפסול בלילה הוא דוקא ב"זאת", היינו הזאת מי חטאת, וכל הדומה לה, לענין שאינם כשרים באשה כבאיש</w:t>
      </w:r>
      <w:r>
        <w:rPr>
          <w:rFonts w:ascii="David" w:hAnsi="David" w:cs="David"/>
          <w:color w:val="0000FF"/>
          <w:sz w:val="24"/>
          <w:szCs w:val="24"/>
          <w:vertAlign w:val="superscript"/>
          <w:rtl/>
        </w:rPr>
        <w:footnoteReference w:customMarkFollows="1" w:id="158"/>
        <w:t>158</w:t>
      </w:r>
      <w:r>
        <w:rPr>
          <w:rFonts w:ascii="David" w:hAnsi="David" w:cs="David"/>
          <w:color w:val="000000"/>
          <w:sz w:val="24"/>
          <w:szCs w:val="24"/>
          <w:rtl/>
        </w:rPr>
        <w:t>, יצאו מילוי וקידוש הכשרים באשה כבאיש</w:t>
      </w:r>
      <w:r>
        <w:rPr>
          <w:rFonts w:ascii="David" w:hAnsi="David" w:cs="David"/>
          <w:color w:val="0000FF"/>
          <w:sz w:val="24"/>
          <w:szCs w:val="24"/>
          <w:vertAlign w:val="superscript"/>
          <w:rtl/>
        </w:rPr>
        <w:footnoteReference w:customMarkFollows="1" w:id="159"/>
        <w:t>159</w:t>
      </w:r>
      <w:r>
        <w:rPr>
          <w:rFonts w:ascii="David" w:hAnsi="David" w:cs="David"/>
          <w:color w:val="000000"/>
          <w:sz w:val="24"/>
          <w:szCs w:val="24"/>
          <w:rtl/>
        </w:rPr>
        <w:t>, שאף בלילה הם כשרים</w:t>
      </w:r>
      <w:r>
        <w:rPr>
          <w:rFonts w:ascii="David" w:hAnsi="David" w:cs="David"/>
          <w:color w:val="0000FF"/>
          <w:sz w:val="24"/>
          <w:szCs w:val="24"/>
          <w:vertAlign w:val="superscript"/>
          <w:rtl/>
        </w:rPr>
        <w:footnoteReference w:customMarkFollows="1" w:id="160"/>
        <w:t>160</w:t>
      </w:r>
      <w:r>
        <w:rPr>
          <w:rFonts w:ascii="David" w:hAnsi="David" w:cs="David"/>
          <w:color w:val="000000"/>
          <w:sz w:val="24"/>
          <w:szCs w:val="24"/>
          <w:rtl/>
        </w:rPr>
        <w:t xml:space="preserve">. </w:t>
      </w:r>
    </w:p>
    <w:p w14:paraId="3807932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[הכשרים למילוי]</w:t>
      </w:r>
    </w:p>
    <w:p w14:paraId="15A62D7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הכל כשרים למלאות</w:t>
      </w:r>
      <w:r>
        <w:rPr>
          <w:rFonts w:ascii="David" w:hAnsi="David" w:cs="David"/>
          <w:color w:val="0000FF"/>
          <w:sz w:val="24"/>
          <w:szCs w:val="24"/>
          <w:vertAlign w:val="superscript"/>
          <w:rtl/>
        </w:rPr>
        <w:footnoteReference w:customMarkFollows="1" w:id="161"/>
        <w:t>161</w:t>
      </w:r>
      <w:r>
        <w:rPr>
          <w:rFonts w:ascii="David" w:hAnsi="David" w:cs="David"/>
          <w:color w:val="000000"/>
          <w:sz w:val="24"/>
          <w:szCs w:val="24"/>
          <w:rtl/>
        </w:rPr>
        <w:t>, ואפילו זר*</w:t>
      </w:r>
      <w:r>
        <w:rPr>
          <w:rFonts w:ascii="David" w:hAnsi="David" w:cs="David"/>
          <w:color w:val="0000FF"/>
          <w:sz w:val="24"/>
          <w:szCs w:val="24"/>
          <w:vertAlign w:val="superscript"/>
          <w:rtl/>
        </w:rPr>
        <w:footnoteReference w:customMarkFollows="1" w:id="162"/>
        <w:t>162</w:t>
      </w:r>
      <w:r>
        <w:rPr>
          <w:rFonts w:ascii="David" w:hAnsi="David" w:cs="David"/>
          <w:color w:val="000000"/>
          <w:sz w:val="24"/>
          <w:szCs w:val="24"/>
          <w:rtl/>
        </w:rPr>
        <w:t xml:space="preserve"> - אף על פי שיש ממעשי הפרה הצריכים דוקא כהן</w:t>
      </w:r>
      <w:r>
        <w:rPr>
          <w:rFonts w:ascii="David" w:hAnsi="David" w:cs="David"/>
          <w:color w:val="0000FF"/>
          <w:sz w:val="24"/>
          <w:szCs w:val="24"/>
          <w:vertAlign w:val="superscript"/>
          <w:rtl/>
        </w:rPr>
        <w:footnoteReference w:customMarkFollows="1" w:id="163"/>
        <w:t>163</w:t>
      </w:r>
      <w:r>
        <w:rPr>
          <w:rFonts w:ascii="David" w:hAnsi="David" w:cs="David"/>
          <w:color w:val="000000"/>
          <w:sz w:val="24"/>
          <w:szCs w:val="24"/>
          <w:rtl/>
        </w:rPr>
        <w:t xml:space="preserve"> - ואפילו אשה ואנדרוגינוס*</w:t>
      </w:r>
      <w:r>
        <w:rPr>
          <w:rFonts w:ascii="David" w:hAnsi="David" w:cs="David"/>
          <w:color w:val="0000FF"/>
          <w:sz w:val="24"/>
          <w:szCs w:val="24"/>
          <w:vertAlign w:val="superscript"/>
          <w:rtl/>
        </w:rPr>
        <w:footnoteReference w:customMarkFollows="1" w:id="164"/>
        <w:t>164</w:t>
      </w:r>
      <w:r>
        <w:rPr>
          <w:rFonts w:ascii="David" w:hAnsi="David" w:cs="David"/>
          <w:color w:val="000000"/>
          <w:sz w:val="24"/>
          <w:szCs w:val="24"/>
          <w:rtl/>
        </w:rPr>
        <w:t>. ולדעת ר' יהודה שאשה ואנדרוגינוס פסולים לקידוש</w:t>
      </w:r>
      <w:r>
        <w:rPr>
          <w:rFonts w:ascii="David" w:hAnsi="David" w:cs="David"/>
          <w:color w:val="0000FF"/>
          <w:sz w:val="24"/>
          <w:szCs w:val="24"/>
          <w:vertAlign w:val="superscript"/>
          <w:rtl/>
        </w:rPr>
        <w:footnoteReference w:customMarkFollows="1" w:id="165"/>
        <w:t>165</w:t>
      </w:r>
      <w:r>
        <w:rPr>
          <w:rFonts w:ascii="David" w:hAnsi="David" w:cs="David"/>
          <w:color w:val="000000"/>
          <w:sz w:val="24"/>
          <w:szCs w:val="24"/>
          <w:rtl/>
        </w:rPr>
        <w:t>, יש שכתבו, שהם פסולים אף לענין מילוי</w:t>
      </w:r>
      <w:r>
        <w:rPr>
          <w:rFonts w:ascii="David" w:hAnsi="David" w:cs="David"/>
          <w:color w:val="0000FF"/>
          <w:sz w:val="24"/>
          <w:szCs w:val="24"/>
          <w:vertAlign w:val="superscript"/>
          <w:rtl/>
        </w:rPr>
        <w:footnoteReference w:customMarkFollows="1" w:id="166"/>
        <w:t>166</w:t>
      </w:r>
      <w:r>
        <w:rPr>
          <w:rFonts w:ascii="David" w:hAnsi="David" w:cs="David"/>
          <w:color w:val="000000"/>
          <w:sz w:val="24"/>
          <w:szCs w:val="24"/>
          <w:rtl/>
        </w:rPr>
        <w:t>, מהם שפירשו הטעם, לפי שלדעתם לענין פסול אשה לקידוש, הנדרש מן הכתוב: ונתן</w:t>
      </w:r>
      <w:r>
        <w:rPr>
          <w:rFonts w:ascii="David" w:hAnsi="David" w:cs="David"/>
          <w:color w:val="0000FF"/>
          <w:sz w:val="24"/>
          <w:szCs w:val="24"/>
          <w:vertAlign w:val="superscript"/>
          <w:rtl/>
        </w:rPr>
        <w:footnoteReference w:customMarkFollows="1" w:id="167"/>
        <w:t>167</w:t>
      </w:r>
      <w:r>
        <w:rPr>
          <w:rFonts w:ascii="David" w:hAnsi="David" w:cs="David"/>
          <w:color w:val="000000"/>
          <w:sz w:val="24"/>
          <w:szCs w:val="24"/>
          <w:rtl/>
        </w:rPr>
        <w:t xml:space="preserve"> - ולא "ונתנה"</w:t>
      </w:r>
      <w:r>
        <w:rPr>
          <w:rFonts w:ascii="David" w:hAnsi="David" w:cs="David"/>
          <w:color w:val="0000FF"/>
          <w:sz w:val="24"/>
          <w:szCs w:val="24"/>
          <w:vertAlign w:val="superscript"/>
          <w:rtl/>
        </w:rPr>
        <w:footnoteReference w:customMarkFollows="1" w:id="168"/>
        <w:t>168</w:t>
      </w:r>
      <w:r>
        <w:rPr>
          <w:rFonts w:ascii="David" w:hAnsi="David" w:cs="David"/>
          <w:color w:val="000000"/>
          <w:sz w:val="24"/>
          <w:szCs w:val="24"/>
          <w:rtl/>
        </w:rPr>
        <w:t xml:space="preserve"> - המילוי בכלל הקידוש</w:t>
      </w:r>
      <w:r>
        <w:rPr>
          <w:rFonts w:ascii="David" w:hAnsi="David" w:cs="David"/>
          <w:color w:val="0000FF"/>
          <w:sz w:val="24"/>
          <w:szCs w:val="24"/>
          <w:vertAlign w:val="superscript"/>
          <w:rtl/>
        </w:rPr>
        <w:footnoteReference w:customMarkFollows="1" w:id="169"/>
        <w:t>169</w:t>
      </w:r>
      <w:r>
        <w:rPr>
          <w:rFonts w:ascii="David" w:hAnsi="David" w:cs="David"/>
          <w:color w:val="000000"/>
          <w:sz w:val="24"/>
          <w:szCs w:val="24"/>
          <w:rtl/>
        </w:rPr>
        <w:t>, שהרי כתוב זה לענין מילוי נאמר</w:t>
      </w:r>
      <w:r>
        <w:rPr>
          <w:rFonts w:ascii="David" w:hAnsi="David" w:cs="David"/>
          <w:color w:val="0000FF"/>
          <w:sz w:val="24"/>
          <w:szCs w:val="24"/>
          <w:vertAlign w:val="superscript"/>
          <w:rtl/>
        </w:rPr>
        <w:footnoteReference w:customMarkFollows="1" w:id="170"/>
        <w:t>170</w:t>
      </w:r>
      <w:r>
        <w:rPr>
          <w:rFonts w:ascii="David" w:hAnsi="David" w:cs="David"/>
          <w:color w:val="000000"/>
          <w:sz w:val="24"/>
          <w:szCs w:val="24"/>
          <w:rtl/>
        </w:rPr>
        <w:t xml:space="preserve">. </w:t>
      </w:r>
    </w:p>
    <w:p w14:paraId="232C163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[חרש שוטה וקטן]</w:t>
      </w:r>
    </w:p>
    <w:p w14:paraId="6D5BF9F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חרש-שוטה-וקטן*, נחלקו בהם: א) יש מן הראשונים שכתבו, שהם פסולים למילוי</w:t>
      </w:r>
      <w:r>
        <w:rPr>
          <w:rFonts w:ascii="David" w:hAnsi="David" w:cs="David"/>
          <w:color w:val="0000FF"/>
          <w:sz w:val="24"/>
          <w:szCs w:val="24"/>
          <w:vertAlign w:val="superscript"/>
          <w:rtl/>
        </w:rPr>
        <w:footnoteReference w:customMarkFollows="1" w:id="171"/>
        <w:t>171</w:t>
      </w:r>
      <w:r>
        <w:rPr>
          <w:rFonts w:ascii="David" w:hAnsi="David" w:cs="David"/>
          <w:color w:val="000000"/>
          <w:sz w:val="24"/>
          <w:szCs w:val="24"/>
          <w:rtl/>
        </w:rPr>
        <w:t>, לדעת חכמים שהם פסולים לקידוש</w:t>
      </w:r>
      <w:r>
        <w:rPr>
          <w:rFonts w:ascii="David" w:hAnsi="David" w:cs="David"/>
          <w:color w:val="0000FF"/>
          <w:sz w:val="24"/>
          <w:szCs w:val="24"/>
          <w:vertAlign w:val="superscript"/>
          <w:rtl/>
        </w:rPr>
        <w:footnoteReference w:customMarkFollows="1" w:id="172"/>
        <w:t>172</w:t>
      </w:r>
      <w:r>
        <w:rPr>
          <w:rFonts w:ascii="David" w:hAnsi="David" w:cs="David"/>
          <w:color w:val="000000"/>
          <w:sz w:val="24"/>
          <w:szCs w:val="24"/>
          <w:rtl/>
        </w:rPr>
        <w:t>, שלמדים מקידוש לפסלם אף למילוי</w:t>
      </w:r>
      <w:r>
        <w:rPr>
          <w:rFonts w:ascii="David" w:hAnsi="David" w:cs="David"/>
          <w:color w:val="0000FF"/>
          <w:sz w:val="24"/>
          <w:szCs w:val="24"/>
          <w:vertAlign w:val="superscript"/>
          <w:rtl/>
        </w:rPr>
        <w:footnoteReference w:customMarkFollows="1" w:id="173"/>
        <w:t>173</w:t>
      </w:r>
      <w:r>
        <w:rPr>
          <w:rFonts w:ascii="David" w:hAnsi="David" w:cs="David"/>
          <w:color w:val="000000"/>
          <w:sz w:val="24"/>
          <w:szCs w:val="24"/>
          <w:rtl/>
        </w:rPr>
        <w:t>, ויש שהוסיפו, שכיון שהמקור לפסלם לקידוש, לדעתם, הוא מהנאמר בקידוש: ולקחו לטמא מעפר שרפת החטאת</w:t>
      </w:r>
      <w:r>
        <w:rPr>
          <w:rFonts w:ascii="David" w:hAnsi="David" w:cs="David"/>
          <w:color w:val="0000FF"/>
          <w:sz w:val="24"/>
          <w:szCs w:val="24"/>
          <w:vertAlign w:val="superscript"/>
          <w:rtl/>
        </w:rPr>
        <w:footnoteReference w:customMarkFollows="1" w:id="174"/>
        <w:t>174</w:t>
      </w:r>
      <w:r>
        <w:rPr>
          <w:rFonts w:ascii="David" w:hAnsi="David" w:cs="David"/>
          <w:color w:val="000000"/>
          <w:sz w:val="24"/>
          <w:szCs w:val="24"/>
          <w:rtl/>
        </w:rPr>
        <w:t>, ומשמע, לקחו אותם הנאמרים למעלה באסיפת אפר-חטאת*, שהיא העבודה הקודמת לקידוש, ולא חרש שוטה וקטן הפסולים לאסיפת אפר חטאת</w:t>
      </w:r>
      <w:r>
        <w:rPr>
          <w:rFonts w:ascii="David" w:hAnsi="David" w:cs="David"/>
          <w:color w:val="0000FF"/>
          <w:sz w:val="24"/>
          <w:szCs w:val="24"/>
          <w:vertAlign w:val="superscript"/>
          <w:rtl/>
        </w:rPr>
        <w:footnoteReference w:customMarkFollows="1" w:id="175"/>
        <w:t>175</w:t>
      </w:r>
      <w:r>
        <w:rPr>
          <w:rFonts w:ascii="David" w:hAnsi="David" w:cs="David"/>
          <w:color w:val="000000"/>
          <w:sz w:val="24"/>
          <w:szCs w:val="24"/>
          <w:rtl/>
        </w:rPr>
        <w:t>, אף המילוי שהוא בין אסיפה לקידוש בכלל</w:t>
      </w:r>
      <w:r>
        <w:rPr>
          <w:rFonts w:ascii="David" w:hAnsi="David" w:cs="David"/>
          <w:color w:val="0000FF"/>
          <w:sz w:val="24"/>
          <w:szCs w:val="24"/>
          <w:vertAlign w:val="superscript"/>
          <w:rtl/>
        </w:rPr>
        <w:footnoteReference w:customMarkFollows="1" w:id="176"/>
        <w:t>176</w:t>
      </w:r>
      <w:r>
        <w:rPr>
          <w:rFonts w:ascii="David" w:hAnsi="David" w:cs="David"/>
          <w:color w:val="000000"/>
          <w:sz w:val="24"/>
          <w:szCs w:val="24"/>
          <w:rtl/>
        </w:rPr>
        <w:t>, או מפני שאף המילוי בכלל הכתוב "ולקחו", שנאמר לאחריו: ונתן עליו מים חיים אל כלי</w:t>
      </w:r>
      <w:r>
        <w:rPr>
          <w:rFonts w:ascii="David" w:hAnsi="David" w:cs="David"/>
          <w:color w:val="0000FF"/>
          <w:sz w:val="24"/>
          <w:szCs w:val="24"/>
          <w:vertAlign w:val="superscript"/>
          <w:rtl/>
        </w:rPr>
        <w:footnoteReference w:customMarkFollows="1" w:id="177"/>
        <w:t>177</w:t>
      </w:r>
      <w:r>
        <w:rPr>
          <w:rFonts w:ascii="David" w:hAnsi="David" w:cs="David"/>
          <w:color w:val="000000"/>
          <w:sz w:val="24"/>
          <w:szCs w:val="24"/>
          <w:rtl/>
        </w:rPr>
        <w:t>, האמור במילוי</w:t>
      </w:r>
      <w:r>
        <w:rPr>
          <w:rFonts w:ascii="David" w:hAnsi="David" w:cs="David"/>
          <w:color w:val="0000FF"/>
          <w:sz w:val="24"/>
          <w:szCs w:val="24"/>
          <w:vertAlign w:val="superscript"/>
          <w:rtl/>
        </w:rPr>
        <w:footnoteReference w:customMarkFollows="1" w:id="178"/>
        <w:t>178</w:t>
      </w:r>
      <w:r>
        <w:rPr>
          <w:rFonts w:ascii="David" w:hAnsi="David" w:cs="David"/>
          <w:color w:val="000000"/>
          <w:sz w:val="24"/>
          <w:szCs w:val="24"/>
          <w:rtl/>
        </w:rPr>
        <w:t>, ולפיכך אין כשרים לו אלא אותם שבכלל הכתוב "ולקחו"</w:t>
      </w:r>
      <w:r>
        <w:rPr>
          <w:rFonts w:ascii="David" w:hAnsi="David" w:cs="David"/>
          <w:color w:val="0000FF"/>
          <w:sz w:val="24"/>
          <w:szCs w:val="24"/>
          <w:vertAlign w:val="superscript"/>
          <w:rtl/>
        </w:rPr>
        <w:footnoteReference w:customMarkFollows="1" w:id="179"/>
        <w:t>179</w:t>
      </w:r>
      <w:r>
        <w:rPr>
          <w:rFonts w:ascii="David" w:hAnsi="David" w:cs="David"/>
          <w:color w:val="000000"/>
          <w:sz w:val="24"/>
          <w:szCs w:val="24"/>
          <w:rtl/>
        </w:rPr>
        <w:t>. ויש מן האחרונים שכתבו טעם אחר, שהמילוי צריך כוונה</w:t>
      </w:r>
      <w:r>
        <w:rPr>
          <w:rFonts w:ascii="David" w:hAnsi="David" w:cs="David"/>
          <w:color w:val="0000FF"/>
          <w:sz w:val="24"/>
          <w:szCs w:val="24"/>
          <w:vertAlign w:val="superscript"/>
          <w:rtl/>
        </w:rPr>
        <w:footnoteReference w:customMarkFollows="1" w:id="180"/>
        <w:t>180</w:t>
      </w:r>
      <w:r>
        <w:rPr>
          <w:rFonts w:ascii="David" w:hAnsi="David" w:cs="David"/>
          <w:color w:val="000000"/>
          <w:sz w:val="24"/>
          <w:szCs w:val="24"/>
          <w:rtl/>
        </w:rPr>
        <w:t>, וחרש שוטה וקטן אינם בני כוונה</w:t>
      </w:r>
      <w:r>
        <w:rPr>
          <w:rFonts w:ascii="David" w:hAnsi="David" w:cs="David"/>
          <w:color w:val="0000FF"/>
          <w:sz w:val="24"/>
          <w:szCs w:val="24"/>
          <w:vertAlign w:val="superscript"/>
          <w:rtl/>
        </w:rPr>
        <w:footnoteReference w:customMarkFollows="1" w:id="181"/>
        <w:t>181</w:t>
      </w:r>
      <w:r>
        <w:rPr>
          <w:rFonts w:ascii="David" w:hAnsi="David" w:cs="David"/>
          <w:color w:val="000000"/>
          <w:sz w:val="24"/>
          <w:szCs w:val="24"/>
          <w:rtl/>
        </w:rPr>
        <w:t>. ולדעה זו, אותה ששנינו במשנה שהתינוקות היו ממלאים מים מן השילוח למי חטאת</w:t>
      </w:r>
      <w:r>
        <w:rPr>
          <w:rFonts w:ascii="David" w:hAnsi="David" w:cs="David"/>
          <w:color w:val="0000FF"/>
          <w:sz w:val="24"/>
          <w:szCs w:val="24"/>
          <w:vertAlign w:val="superscript"/>
          <w:rtl/>
        </w:rPr>
        <w:footnoteReference w:customMarkFollows="1" w:id="182"/>
        <w:t>182</w:t>
      </w:r>
      <w:r>
        <w:rPr>
          <w:rFonts w:ascii="David" w:hAnsi="David" w:cs="David"/>
          <w:color w:val="000000"/>
          <w:sz w:val="24"/>
          <w:szCs w:val="24"/>
          <w:rtl/>
        </w:rPr>
        <w:t>, לא הוכשר מילוי זה להזאה* על טמאים, אלא להזאה על הכהן השורף את הפרה, שלא הוצרך אלא משום מעלה בעלמא, לפי שטהורים ודאי היו</w:t>
      </w:r>
      <w:r>
        <w:rPr>
          <w:rFonts w:ascii="David" w:hAnsi="David" w:cs="David"/>
          <w:color w:val="0000FF"/>
          <w:sz w:val="24"/>
          <w:szCs w:val="24"/>
          <w:vertAlign w:val="superscript"/>
          <w:rtl/>
        </w:rPr>
        <w:footnoteReference w:customMarkFollows="1" w:id="183"/>
        <w:t>183</w:t>
      </w:r>
      <w:r>
        <w:rPr>
          <w:rFonts w:ascii="David" w:hAnsi="David" w:cs="David"/>
          <w:color w:val="000000"/>
          <w:sz w:val="24"/>
          <w:szCs w:val="24"/>
          <w:rtl/>
        </w:rPr>
        <w:t>. ויש שכתב בדעת ראשונים, שאין חרש שוטה וקטן פסולים אלא למילוי בכלי שמקדש בו, לפי שלדעתם מילוי זה בכלל עבודת הקידוש הוא</w:t>
      </w:r>
      <w:r>
        <w:rPr>
          <w:rFonts w:ascii="David" w:hAnsi="David" w:cs="David"/>
          <w:color w:val="0000FF"/>
          <w:sz w:val="24"/>
          <w:szCs w:val="24"/>
          <w:vertAlign w:val="superscript"/>
          <w:rtl/>
        </w:rPr>
        <w:footnoteReference w:customMarkFollows="1" w:id="184"/>
        <w:t>184</w:t>
      </w:r>
      <w:r>
        <w:rPr>
          <w:rFonts w:ascii="David" w:hAnsi="David" w:cs="David"/>
          <w:color w:val="000000"/>
          <w:sz w:val="24"/>
          <w:szCs w:val="24"/>
          <w:rtl/>
        </w:rPr>
        <w:t xml:space="preserve">, </w:t>
      </w:r>
    </w:p>
    <w:p w14:paraId="7C9254D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ולפיכך למדים מקידוש לפסול בו חרש שוטה וקטן, אבל מילוי בכלי שאינו מקדש בו</w:t>
      </w:r>
      <w:r>
        <w:rPr>
          <w:rFonts w:ascii="David" w:hAnsi="David" w:cs="David"/>
          <w:color w:val="0000FF"/>
          <w:sz w:val="24"/>
          <w:szCs w:val="24"/>
          <w:vertAlign w:val="superscript"/>
          <w:rtl/>
        </w:rPr>
        <w:footnoteReference w:customMarkFollows="1" w:id="185"/>
        <w:t>185</w:t>
      </w:r>
      <w:r>
        <w:rPr>
          <w:rFonts w:ascii="David" w:hAnsi="David" w:cs="David"/>
          <w:color w:val="000000"/>
          <w:sz w:val="24"/>
          <w:szCs w:val="24"/>
          <w:rtl/>
        </w:rPr>
        <w:t>, שאינו בא אלא להכשרת המים</w:t>
      </w:r>
      <w:r>
        <w:rPr>
          <w:rFonts w:ascii="David" w:hAnsi="David" w:cs="David"/>
          <w:color w:val="0000FF"/>
          <w:sz w:val="24"/>
          <w:szCs w:val="24"/>
          <w:vertAlign w:val="superscript"/>
          <w:rtl/>
        </w:rPr>
        <w:footnoteReference w:customMarkFollows="1" w:id="186"/>
        <w:t>186</w:t>
      </w:r>
      <w:r>
        <w:rPr>
          <w:rFonts w:ascii="David" w:hAnsi="David" w:cs="David"/>
          <w:color w:val="000000"/>
          <w:sz w:val="24"/>
          <w:szCs w:val="24"/>
          <w:rtl/>
        </w:rPr>
        <w:t>, כשר הוא אף על ידי חרש שוטה וקטן, ואותה ששנינו שהתינוקות היו ממלאים מים מן השילוח, לא היה אלא במילוי לכלי שלא היו מקדשים בו</w:t>
      </w:r>
      <w:r>
        <w:rPr>
          <w:rFonts w:ascii="David" w:hAnsi="David" w:cs="David"/>
          <w:color w:val="0000FF"/>
          <w:sz w:val="24"/>
          <w:szCs w:val="24"/>
          <w:vertAlign w:val="superscript"/>
          <w:rtl/>
        </w:rPr>
        <w:footnoteReference w:customMarkFollows="1" w:id="187"/>
        <w:t>187</w:t>
      </w:r>
      <w:r>
        <w:rPr>
          <w:rFonts w:ascii="David" w:hAnsi="David" w:cs="David"/>
          <w:color w:val="000000"/>
          <w:sz w:val="24"/>
          <w:szCs w:val="24"/>
          <w:rtl/>
        </w:rPr>
        <w:t>. ב) ובדעת הראשונים הסוברים שאין צריך כח אדם במילוי, ואם נתמלא הכלי מאליו כשר</w:t>
      </w:r>
      <w:r>
        <w:rPr>
          <w:rFonts w:ascii="David" w:hAnsi="David" w:cs="David"/>
          <w:color w:val="0000FF"/>
          <w:sz w:val="24"/>
          <w:szCs w:val="24"/>
          <w:vertAlign w:val="superscript"/>
          <w:rtl/>
        </w:rPr>
        <w:footnoteReference w:customMarkFollows="1" w:id="188"/>
        <w:t>188</w:t>
      </w:r>
      <w:r>
        <w:rPr>
          <w:rFonts w:ascii="David" w:hAnsi="David" w:cs="David"/>
          <w:color w:val="000000"/>
          <w:sz w:val="24"/>
          <w:szCs w:val="24"/>
          <w:rtl/>
        </w:rPr>
        <w:t>, כתבו אחרונים, שחרש שוטה וקטן כשרים למילוי</w:t>
      </w:r>
      <w:r>
        <w:rPr>
          <w:rFonts w:ascii="David" w:hAnsi="David" w:cs="David"/>
          <w:color w:val="0000FF"/>
          <w:sz w:val="24"/>
          <w:szCs w:val="24"/>
          <w:vertAlign w:val="superscript"/>
          <w:rtl/>
        </w:rPr>
        <w:footnoteReference w:customMarkFollows="1" w:id="189"/>
        <w:t>189</w:t>
      </w:r>
      <w:r>
        <w:rPr>
          <w:rFonts w:ascii="David" w:hAnsi="David" w:cs="David"/>
          <w:color w:val="000000"/>
          <w:sz w:val="24"/>
          <w:szCs w:val="24"/>
          <w:rtl/>
        </w:rPr>
        <w:t>, ומהם שכתבו שמכל מקום כיון שצריך שיעשה המילוי לשם מי חטאת</w:t>
      </w:r>
      <w:r>
        <w:rPr>
          <w:rFonts w:ascii="David" w:hAnsi="David" w:cs="David"/>
          <w:color w:val="0000FF"/>
          <w:sz w:val="24"/>
          <w:szCs w:val="24"/>
          <w:vertAlign w:val="superscript"/>
          <w:rtl/>
        </w:rPr>
        <w:footnoteReference w:customMarkFollows="1" w:id="190"/>
        <w:t>190</w:t>
      </w:r>
      <w:r>
        <w:rPr>
          <w:rFonts w:ascii="David" w:hAnsi="David" w:cs="David"/>
          <w:color w:val="000000"/>
          <w:sz w:val="24"/>
          <w:szCs w:val="24"/>
          <w:rtl/>
        </w:rPr>
        <w:t>, צריך שיהיה המילוי בפני גדול ומדעתו, שמילוי לדעת קטן אינו מועיל</w:t>
      </w:r>
      <w:r>
        <w:rPr>
          <w:rFonts w:ascii="David" w:hAnsi="David" w:cs="David"/>
          <w:color w:val="0000FF"/>
          <w:sz w:val="24"/>
          <w:szCs w:val="24"/>
          <w:vertAlign w:val="superscript"/>
          <w:rtl/>
        </w:rPr>
        <w:footnoteReference w:customMarkFollows="1" w:id="191"/>
        <w:t>191</w:t>
      </w:r>
      <w:r>
        <w:rPr>
          <w:rFonts w:ascii="David" w:hAnsi="David" w:cs="David"/>
          <w:color w:val="000000"/>
          <w:sz w:val="24"/>
          <w:szCs w:val="24"/>
          <w:rtl/>
        </w:rPr>
        <w:t>. ג) ובדעת ר' יהודה הסובר שקטן כשר לקידוש</w:t>
      </w:r>
      <w:r>
        <w:rPr>
          <w:rFonts w:ascii="David" w:hAnsi="David" w:cs="David"/>
          <w:color w:val="0000FF"/>
          <w:sz w:val="24"/>
          <w:szCs w:val="24"/>
          <w:vertAlign w:val="superscript"/>
          <w:rtl/>
        </w:rPr>
        <w:footnoteReference w:customMarkFollows="1" w:id="192"/>
        <w:t>192</w:t>
      </w:r>
      <w:r>
        <w:rPr>
          <w:rFonts w:ascii="David" w:hAnsi="David" w:cs="David"/>
          <w:color w:val="000000"/>
          <w:sz w:val="24"/>
          <w:szCs w:val="24"/>
          <w:rtl/>
        </w:rPr>
        <w:t>, כתבו אחרונים שהוא כשר אף למילוי</w:t>
      </w:r>
      <w:r>
        <w:rPr>
          <w:rFonts w:ascii="David" w:hAnsi="David" w:cs="David"/>
          <w:color w:val="0000FF"/>
          <w:sz w:val="24"/>
          <w:szCs w:val="24"/>
          <w:vertAlign w:val="superscript"/>
          <w:rtl/>
        </w:rPr>
        <w:footnoteReference w:customMarkFollows="1" w:id="193"/>
        <w:t>193</w:t>
      </w:r>
      <w:r>
        <w:rPr>
          <w:rFonts w:ascii="David" w:hAnsi="David" w:cs="David"/>
          <w:color w:val="000000"/>
          <w:sz w:val="24"/>
          <w:szCs w:val="24"/>
          <w:rtl/>
        </w:rPr>
        <w:t>, לפי שהמילוי בכלל קידוש, לסוברים כן</w:t>
      </w:r>
      <w:r>
        <w:rPr>
          <w:rFonts w:ascii="David" w:hAnsi="David" w:cs="David"/>
          <w:color w:val="0000FF"/>
          <w:sz w:val="24"/>
          <w:szCs w:val="24"/>
          <w:vertAlign w:val="superscript"/>
          <w:rtl/>
        </w:rPr>
        <w:footnoteReference w:customMarkFollows="1" w:id="194"/>
        <w:t>194</w:t>
      </w:r>
      <w:r>
        <w:rPr>
          <w:rFonts w:ascii="David" w:hAnsi="David" w:cs="David"/>
          <w:color w:val="000000"/>
          <w:sz w:val="24"/>
          <w:szCs w:val="24"/>
          <w:rtl/>
        </w:rPr>
        <w:t>, או שהוא נלמד מקידוש</w:t>
      </w:r>
      <w:r>
        <w:rPr>
          <w:rFonts w:ascii="David" w:hAnsi="David" w:cs="David"/>
          <w:color w:val="0000FF"/>
          <w:sz w:val="24"/>
          <w:szCs w:val="24"/>
          <w:vertAlign w:val="superscript"/>
          <w:rtl/>
        </w:rPr>
        <w:footnoteReference w:customMarkFollows="1" w:id="195"/>
        <w:t>195</w:t>
      </w:r>
      <w:r>
        <w:rPr>
          <w:rFonts w:ascii="David" w:hAnsi="David" w:cs="David"/>
          <w:color w:val="000000"/>
          <w:sz w:val="24"/>
          <w:szCs w:val="24"/>
          <w:rtl/>
        </w:rPr>
        <w:t>. ומכל מקום לדעת ר' ישמעאל בנו של ר' יוחנן בן ברוקה, שחרש שוטה וקטן אינם כשרים אלא כשאחרים רואים אותם</w:t>
      </w:r>
      <w:r>
        <w:rPr>
          <w:rFonts w:ascii="David" w:hAnsi="David" w:cs="David"/>
          <w:color w:val="0000FF"/>
          <w:sz w:val="24"/>
          <w:szCs w:val="24"/>
          <w:vertAlign w:val="superscript"/>
          <w:rtl/>
        </w:rPr>
        <w:footnoteReference w:customMarkFollows="1" w:id="196"/>
        <w:t>196</w:t>
      </w:r>
      <w:r>
        <w:rPr>
          <w:rFonts w:ascii="David" w:hAnsi="David" w:cs="David"/>
          <w:color w:val="000000"/>
          <w:sz w:val="24"/>
          <w:szCs w:val="24"/>
          <w:rtl/>
        </w:rPr>
        <w:t>, יש שכתבו שלא הכשיר אלא בקידוש ולא במילוי</w:t>
      </w:r>
      <w:r>
        <w:rPr>
          <w:rFonts w:ascii="David" w:hAnsi="David" w:cs="David"/>
          <w:color w:val="0000FF"/>
          <w:sz w:val="24"/>
          <w:szCs w:val="24"/>
          <w:vertAlign w:val="superscript"/>
          <w:rtl/>
        </w:rPr>
        <w:footnoteReference w:customMarkFollows="1" w:id="197"/>
        <w:t>197</w:t>
      </w:r>
      <w:r>
        <w:rPr>
          <w:rFonts w:ascii="David" w:hAnsi="David" w:cs="David"/>
          <w:color w:val="000000"/>
          <w:sz w:val="24"/>
          <w:szCs w:val="24"/>
          <w:rtl/>
        </w:rPr>
        <w:t xml:space="preserve">. </w:t>
      </w:r>
    </w:p>
    <w:p w14:paraId="14CDDF1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[טמא וערל]</w:t>
      </w:r>
    </w:p>
    <w:p w14:paraId="38F3B87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טמא פסול למילוי</w:t>
      </w:r>
      <w:r>
        <w:rPr>
          <w:rFonts w:ascii="David" w:hAnsi="David" w:cs="David"/>
          <w:color w:val="0000FF"/>
          <w:sz w:val="24"/>
          <w:szCs w:val="24"/>
          <w:vertAlign w:val="superscript"/>
          <w:rtl/>
        </w:rPr>
        <w:footnoteReference w:customMarkFollows="1" w:id="198"/>
        <w:t>198</w:t>
      </w:r>
      <w:r>
        <w:rPr>
          <w:rFonts w:ascii="David" w:hAnsi="David" w:cs="David"/>
          <w:color w:val="000000"/>
          <w:sz w:val="24"/>
          <w:szCs w:val="24"/>
          <w:rtl/>
        </w:rPr>
        <w:t>, כשם שהוא פסול לקידוש</w:t>
      </w:r>
      <w:r>
        <w:rPr>
          <w:rFonts w:ascii="David" w:hAnsi="David" w:cs="David"/>
          <w:color w:val="0000FF"/>
          <w:sz w:val="24"/>
          <w:szCs w:val="24"/>
          <w:vertAlign w:val="superscript"/>
          <w:rtl/>
        </w:rPr>
        <w:footnoteReference w:customMarkFollows="1" w:id="199"/>
        <w:t>199</w:t>
      </w:r>
      <w:r>
        <w:rPr>
          <w:rFonts w:ascii="David" w:hAnsi="David" w:cs="David"/>
          <w:color w:val="000000"/>
          <w:sz w:val="24"/>
          <w:szCs w:val="24"/>
          <w:rtl/>
        </w:rPr>
        <w:t>, על הטעם שהוא פסול לקידוש, ועל מיני הטמאים הפסולים, עי' להלן: הקידוש</w:t>
      </w:r>
      <w:r>
        <w:rPr>
          <w:rFonts w:ascii="David" w:hAnsi="David" w:cs="David"/>
          <w:color w:val="0000FF"/>
          <w:sz w:val="24"/>
          <w:szCs w:val="24"/>
          <w:vertAlign w:val="superscript"/>
          <w:rtl/>
        </w:rPr>
        <w:footnoteReference w:customMarkFollows="1" w:id="200"/>
        <w:t>200</w:t>
      </w:r>
      <w:r>
        <w:rPr>
          <w:rFonts w:ascii="David" w:hAnsi="David" w:cs="David"/>
          <w:color w:val="000000"/>
          <w:sz w:val="24"/>
          <w:szCs w:val="24"/>
          <w:rtl/>
        </w:rPr>
        <w:t>. וכן ערל*, לסוברים שדינו כטמא</w:t>
      </w:r>
      <w:r>
        <w:rPr>
          <w:rFonts w:ascii="David" w:hAnsi="David" w:cs="David"/>
          <w:color w:val="0000FF"/>
          <w:sz w:val="24"/>
          <w:szCs w:val="24"/>
          <w:vertAlign w:val="superscript"/>
          <w:rtl/>
        </w:rPr>
        <w:footnoteReference w:customMarkFollows="1" w:id="201"/>
        <w:t>201</w:t>
      </w:r>
      <w:r>
        <w:rPr>
          <w:rFonts w:ascii="David" w:hAnsi="David" w:cs="David"/>
          <w:color w:val="000000"/>
          <w:sz w:val="24"/>
          <w:szCs w:val="24"/>
          <w:rtl/>
        </w:rPr>
        <w:t>, פסול למילוי, אבל לסוברים שאין דינו כטמא, כשר</w:t>
      </w:r>
      <w:r>
        <w:rPr>
          <w:rFonts w:ascii="David" w:hAnsi="David" w:cs="David"/>
          <w:color w:val="0000FF"/>
          <w:sz w:val="24"/>
          <w:szCs w:val="24"/>
          <w:vertAlign w:val="superscript"/>
          <w:rtl/>
        </w:rPr>
        <w:footnoteReference w:customMarkFollows="1" w:id="202"/>
        <w:t>202</w:t>
      </w:r>
      <w:r>
        <w:rPr>
          <w:rFonts w:ascii="David" w:hAnsi="David" w:cs="David"/>
          <w:color w:val="000000"/>
          <w:sz w:val="24"/>
          <w:szCs w:val="24"/>
          <w:rtl/>
        </w:rPr>
        <w:t>. על המוסר מימיו לטמא לאחר המילוי, ע"ע הסח הדעת</w:t>
      </w:r>
      <w:r>
        <w:rPr>
          <w:rFonts w:ascii="David" w:hAnsi="David" w:cs="David"/>
          <w:color w:val="0000FF"/>
          <w:sz w:val="24"/>
          <w:szCs w:val="24"/>
          <w:vertAlign w:val="superscript"/>
          <w:rtl/>
        </w:rPr>
        <w:footnoteReference w:customMarkFollows="1" w:id="203"/>
        <w:t>203</w:t>
      </w:r>
      <w:r>
        <w:rPr>
          <w:rFonts w:ascii="David" w:hAnsi="David" w:cs="David"/>
          <w:color w:val="000000"/>
          <w:sz w:val="24"/>
          <w:szCs w:val="24"/>
          <w:rtl/>
        </w:rPr>
        <w:t xml:space="preserve">. </w:t>
      </w:r>
    </w:p>
    <w:p w14:paraId="78F7870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[בכלי]</w:t>
      </w:r>
    </w:p>
    <w:p w14:paraId="4B04691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אין ממלאים את המים אלא בכלי</w:t>
      </w:r>
      <w:r>
        <w:rPr>
          <w:rFonts w:ascii="David" w:hAnsi="David" w:cs="David"/>
          <w:color w:val="0000FF"/>
          <w:sz w:val="24"/>
          <w:szCs w:val="24"/>
          <w:vertAlign w:val="superscript"/>
          <w:rtl/>
        </w:rPr>
        <w:footnoteReference w:customMarkFollows="1" w:id="204"/>
        <w:t>204</w:t>
      </w:r>
      <w:r>
        <w:rPr>
          <w:rFonts w:ascii="David" w:hAnsi="David" w:cs="David"/>
          <w:color w:val="000000"/>
          <w:sz w:val="24"/>
          <w:szCs w:val="24"/>
          <w:rtl/>
        </w:rPr>
        <w:t>, שנאמר: ונתן עליו מים חיים אל כלי</w:t>
      </w:r>
      <w:r>
        <w:rPr>
          <w:rFonts w:ascii="David" w:hAnsi="David" w:cs="David"/>
          <w:color w:val="0000FF"/>
          <w:sz w:val="24"/>
          <w:szCs w:val="24"/>
          <w:vertAlign w:val="superscript"/>
          <w:rtl/>
        </w:rPr>
        <w:footnoteReference w:customMarkFollows="1" w:id="205"/>
        <w:t>205</w:t>
      </w:r>
      <w:r>
        <w:rPr>
          <w:rFonts w:ascii="David" w:hAnsi="David" w:cs="David"/>
          <w:color w:val="000000"/>
          <w:sz w:val="24"/>
          <w:szCs w:val="24"/>
          <w:rtl/>
        </w:rPr>
        <w:t>. וכל הכלים שכשרים לקדש בהם מי חטאת כשרים למילוי</w:t>
      </w:r>
      <w:r>
        <w:rPr>
          <w:rFonts w:ascii="David" w:hAnsi="David" w:cs="David"/>
          <w:color w:val="0000FF"/>
          <w:sz w:val="24"/>
          <w:szCs w:val="24"/>
          <w:vertAlign w:val="superscript"/>
          <w:rtl/>
        </w:rPr>
        <w:footnoteReference w:customMarkFollows="1" w:id="206"/>
        <w:t>206</w:t>
      </w:r>
      <w:r>
        <w:rPr>
          <w:rFonts w:ascii="David" w:hAnsi="David" w:cs="David"/>
          <w:color w:val="000000"/>
          <w:sz w:val="24"/>
          <w:szCs w:val="24"/>
          <w:rtl/>
        </w:rPr>
        <w:t>, על הכלים הכשרים לקידוש, עי' להלן: הקידוש</w:t>
      </w:r>
      <w:r>
        <w:rPr>
          <w:rFonts w:ascii="David" w:hAnsi="David" w:cs="David"/>
          <w:color w:val="0000FF"/>
          <w:sz w:val="24"/>
          <w:szCs w:val="24"/>
          <w:vertAlign w:val="superscript"/>
          <w:rtl/>
        </w:rPr>
        <w:footnoteReference w:customMarkFollows="1" w:id="207"/>
        <w:t>207</w:t>
      </w:r>
      <w:r>
        <w:rPr>
          <w:rFonts w:ascii="David" w:hAnsi="David" w:cs="David"/>
          <w:color w:val="000000"/>
          <w:sz w:val="24"/>
          <w:szCs w:val="24"/>
          <w:rtl/>
        </w:rPr>
        <w:t>. כלי טמא, פסול למילוי</w:t>
      </w:r>
      <w:r>
        <w:rPr>
          <w:rFonts w:ascii="David" w:hAnsi="David" w:cs="David"/>
          <w:color w:val="0000FF"/>
          <w:sz w:val="24"/>
          <w:szCs w:val="24"/>
          <w:vertAlign w:val="superscript"/>
          <w:rtl/>
        </w:rPr>
        <w:footnoteReference w:customMarkFollows="1" w:id="208"/>
        <w:t>208</w:t>
      </w:r>
      <w:r>
        <w:rPr>
          <w:rFonts w:ascii="David" w:hAnsi="David" w:cs="David"/>
          <w:color w:val="000000"/>
          <w:sz w:val="24"/>
          <w:szCs w:val="24"/>
          <w:rtl/>
        </w:rPr>
        <w:t>, שכיון שהצריכה תורה כלי, סברא היא שצריך שיהא טהור, שכל ענייני המים הם בטהורים</w:t>
      </w:r>
      <w:r>
        <w:rPr>
          <w:rFonts w:ascii="David" w:hAnsi="David" w:cs="David"/>
          <w:color w:val="0000FF"/>
          <w:sz w:val="24"/>
          <w:szCs w:val="24"/>
          <w:vertAlign w:val="superscript"/>
          <w:rtl/>
        </w:rPr>
        <w:footnoteReference w:customMarkFollows="1" w:id="209"/>
        <w:t>209</w:t>
      </w:r>
      <w:r>
        <w:rPr>
          <w:rFonts w:ascii="David" w:hAnsi="David" w:cs="David"/>
          <w:color w:val="000000"/>
          <w:sz w:val="24"/>
          <w:szCs w:val="24"/>
          <w:rtl/>
        </w:rPr>
        <w:t>, ועוד, שאם אינו טהור, הרי הוא מטמא את המים משבאו לכלי</w:t>
      </w:r>
      <w:r>
        <w:rPr>
          <w:rFonts w:ascii="David" w:hAnsi="David" w:cs="David"/>
          <w:color w:val="0000FF"/>
          <w:sz w:val="24"/>
          <w:szCs w:val="24"/>
          <w:vertAlign w:val="superscript"/>
          <w:rtl/>
        </w:rPr>
        <w:footnoteReference w:customMarkFollows="1" w:id="210"/>
        <w:t>210</w:t>
      </w:r>
      <w:r>
        <w:rPr>
          <w:rFonts w:ascii="David" w:hAnsi="David" w:cs="David"/>
          <w:color w:val="000000"/>
          <w:sz w:val="24"/>
          <w:szCs w:val="24"/>
          <w:rtl/>
        </w:rPr>
        <w:t>. על פסולם של מים שנטמאו, ועל כלים המטמאים את המים, עי' להלן: פסולם מחמת טומאה</w:t>
      </w:r>
      <w:r>
        <w:rPr>
          <w:rFonts w:ascii="David" w:hAnsi="David" w:cs="David"/>
          <w:color w:val="0000FF"/>
          <w:sz w:val="24"/>
          <w:szCs w:val="24"/>
          <w:vertAlign w:val="superscript"/>
          <w:rtl/>
        </w:rPr>
        <w:footnoteReference w:customMarkFollows="1" w:id="211"/>
        <w:t>211</w:t>
      </w:r>
      <w:r>
        <w:rPr>
          <w:rFonts w:ascii="David" w:hAnsi="David" w:cs="David"/>
          <w:color w:val="000000"/>
          <w:sz w:val="24"/>
          <w:szCs w:val="24"/>
          <w:rtl/>
        </w:rPr>
        <w:t>. על מילוי המים הנצרכים לטהרת הכהן השורף את הפרה, שהצריכו שיהיה בכלי אבנים שאינם מקבלים טומאה</w:t>
      </w:r>
      <w:r>
        <w:rPr>
          <w:rFonts w:ascii="David" w:hAnsi="David" w:cs="David"/>
          <w:color w:val="0000FF"/>
          <w:sz w:val="24"/>
          <w:szCs w:val="24"/>
          <w:vertAlign w:val="superscript"/>
          <w:rtl/>
        </w:rPr>
        <w:footnoteReference w:customMarkFollows="1" w:id="212"/>
        <w:t>212</w:t>
      </w:r>
      <w:r>
        <w:rPr>
          <w:rFonts w:ascii="David" w:hAnsi="David" w:cs="David"/>
          <w:color w:val="000000"/>
          <w:sz w:val="24"/>
          <w:szCs w:val="24"/>
          <w:rtl/>
        </w:rPr>
        <w:t>, עי' להלן: לטהרת השורף את הפרה</w:t>
      </w:r>
      <w:r>
        <w:rPr>
          <w:rFonts w:ascii="David" w:hAnsi="David" w:cs="David"/>
          <w:color w:val="0000FF"/>
          <w:sz w:val="24"/>
          <w:szCs w:val="24"/>
          <w:vertAlign w:val="superscript"/>
          <w:rtl/>
        </w:rPr>
        <w:footnoteReference w:customMarkFollows="1" w:id="213"/>
        <w:t>213</w:t>
      </w:r>
      <w:r>
        <w:rPr>
          <w:rFonts w:ascii="David" w:hAnsi="David" w:cs="David"/>
          <w:color w:val="000000"/>
          <w:sz w:val="24"/>
          <w:szCs w:val="24"/>
          <w:rtl/>
        </w:rPr>
        <w:t xml:space="preserve">. </w:t>
      </w:r>
    </w:p>
    <w:p w14:paraId="03417FB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[חציצה]</w:t>
      </w:r>
    </w:p>
    <w:p w14:paraId="02CC49F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 שנתמלאו, צריך שלא יהיה דבר חוצץ בינם לבין הכלי</w:t>
      </w:r>
      <w:r>
        <w:rPr>
          <w:rFonts w:ascii="David" w:hAnsi="David" w:cs="David"/>
          <w:color w:val="0000FF"/>
          <w:sz w:val="24"/>
          <w:szCs w:val="24"/>
          <w:vertAlign w:val="superscript"/>
          <w:rtl/>
        </w:rPr>
        <w:footnoteReference w:customMarkFollows="1" w:id="214"/>
        <w:t>214</w:t>
      </w:r>
      <w:r>
        <w:rPr>
          <w:rFonts w:ascii="David" w:hAnsi="David" w:cs="David"/>
          <w:color w:val="000000"/>
          <w:sz w:val="24"/>
          <w:szCs w:val="24"/>
          <w:rtl/>
        </w:rPr>
        <w:t xml:space="preserve">. וכן באותה ששנינו, </w:t>
      </w:r>
    </w:p>
    <w:p w14:paraId="723E906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שמי ביצים - לשון ביצה</w:t>
      </w:r>
      <w:r>
        <w:rPr>
          <w:rFonts w:ascii="David" w:hAnsi="David" w:cs="David"/>
          <w:color w:val="0000FF"/>
          <w:sz w:val="24"/>
          <w:szCs w:val="24"/>
          <w:vertAlign w:val="superscript"/>
          <w:rtl/>
        </w:rPr>
        <w:footnoteReference w:customMarkFollows="1" w:id="215"/>
        <w:t>215</w:t>
      </w:r>
      <w:r>
        <w:rPr>
          <w:rFonts w:ascii="David" w:hAnsi="David" w:cs="David"/>
          <w:color w:val="000000"/>
          <w:sz w:val="24"/>
          <w:szCs w:val="24"/>
          <w:rtl/>
        </w:rPr>
        <w:t xml:space="preserve"> - פסולים לחטאת</w:t>
      </w:r>
      <w:r>
        <w:rPr>
          <w:rFonts w:ascii="David" w:hAnsi="David" w:cs="David"/>
          <w:color w:val="0000FF"/>
          <w:sz w:val="24"/>
          <w:szCs w:val="24"/>
          <w:vertAlign w:val="superscript"/>
          <w:rtl/>
        </w:rPr>
        <w:footnoteReference w:customMarkFollows="1" w:id="216"/>
        <w:t>216</w:t>
      </w:r>
      <w:r>
        <w:rPr>
          <w:rFonts w:ascii="David" w:hAnsi="David" w:cs="David"/>
          <w:color w:val="000000"/>
          <w:sz w:val="24"/>
          <w:szCs w:val="24"/>
          <w:rtl/>
        </w:rPr>
        <w:t>, יש מן הראשונים שכתבו הטעם, מפני שחומר וטיט מעורב בהם, וחציצה היא בין המים לכלי</w:t>
      </w:r>
      <w:r>
        <w:rPr>
          <w:rFonts w:ascii="David" w:hAnsi="David" w:cs="David"/>
          <w:color w:val="0000FF"/>
          <w:sz w:val="24"/>
          <w:szCs w:val="24"/>
          <w:vertAlign w:val="superscript"/>
          <w:rtl/>
        </w:rPr>
        <w:footnoteReference w:customMarkFollows="1" w:id="217"/>
        <w:t>217</w:t>
      </w:r>
      <w:r>
        <w:rPr>
          <w:rFonts w:ascii="David" w:hAnsi="David" w:cs="David"/>
          <w:color w:val="000000"/>
          <w:sz w:val="24"/>
          <w:szCs w:val="24"/>
          <w:rtl/>
        </w:rPr>
        <w:t>. על הסוברים שמי ביצים פסולים מטעמים אחרים, עי' לעיל: המים</w:t>
      </w:r>
      <w:r>
        <w:rPr>
          <w:rFonts w:ascii="David" w:hAnsi="David" w:cs="David"/>
          <w:color w:val="0000FF"/>
          <w:sz w:val="24"/>
          <w:szCs w:val="24"/>
          <w:vertAlign w:val="superscript"/>
          <w:rtl/>
        </w:rPr>
        <w:footnoteReference w:customMarkFollows="1" w:id="218"/>
        <w:t>218</w:t>
      </w:r>
      <w:r>
        <w:rPr>
          <w:rFonts w:ascii="David" w:hAnsi="David" w:cs="David"/>
          <w:color w:val="000000"/>
          <w:sz w:val="24"/>
          <w:szCs w:val="24"/>
          <w:rtl/>
        </w:rPr>
        <w:t>, וע"ע מים חיים. וכן יש מן הראשונים שכתבו בטעם שמים שבכלי שהיה בו ספוג בשעת מילוי כשרים - אף על פי שלדעתם המים שבספוג פסולים, לפי שאינו כלי</w:t>
      </w:r>
      <w:r>
        <w:rPr>
          <w:rFonts w:ascii="David" w:hAnsi="David" w:cs="David"/>
          <w:color w:val="0000FF"/>
          <w:sz w:val="24"/>
          <w:szCs w:val="24"/>
          <w:vertAlign w:val="superscript"/>
          <w:rtl/>
        </w:rPr>
        <w:footnoteReference w:customMarkFollows="1" w:id="219"/>
        <w:t>219</w:t>
      </w:r>
      <w:r>
        <w:rPr>
          <w:rFonts w:ascii="David" w:hAnsi="David" w:cs="David"/>
          <w:color w:val="000000"/>
          <w:sz w:val="24"/>
          <w:szCs w:val="24"/>
          <w:rtl/>
        </w:rPr>
        <w:t xml:space="preserve"> - שהוא לפי שאין הספוג חוצץ</w:t>
      </w:r>
      <w:r>
        <w:rPr>
          <w:rFonts w:ascii="David" w:hAnsi="David" w:cs="David"/>
          <w:color w:val="0000FF"/>
          <w:sz w:val="24"/>
          <w:szCs w:val="24"/>
          <w:vertAlign w:val="superscript"/>
          <w:rtl/>
        </w:rPr>
        <w:footnoteReference w:customMarkFollows="1" w:id="220"/>
        <w:t>220</w:t>
      </w:r>
      <w:r>
        <w:rPr>
          <w:rFonts w:ascii="David" w:hAnsi="David" w:cs="David"/>
          <w:color w:val="000000"/>
          <w:sz w:val="24"/>
          <w:szCs w:val="24"/>
          <w:rtl/>
        </w:rPr>
        <w:t>, הואיל והוא חלול והמים עוברים בו</w:t>
      </w:r>
      <w:r>
        <w:rPr>
          <w:rFonts w:ascii="David" w:hAnsi="David" w:cs="David"/>
          <w:color w:val="0000FF"/>
          <w:sz w:val="24"/>
          <w:szCs w:val="24"/>
          <w:vertAlign w:val="superscript"/>
          <w:rtl/>
        </w:rPr>
        <w:footnoteReference w:customMarkFollows="1" w:id="221"/>
        <w:t>221</w:t>
      </w:r>
      <w:r>
        <w:rPr>
          <w:rFonts w:ascii="David" w:hAnsi="David" w:cs="David"/>
          <w:color w:val="000000"/>
          <w:sz w:val="24"/>
          <w:szCs w:val="24"/>
          <w:rtl/>
        </w:rPr>
        <w:t>. על כך שאין המים שבכלי נפסלים מחמת המים שבספוג, עי' להלן: פסולם על ידי תערובת</w:t>
      </w:r>
      <w:r>
        <w:rPr>
          <w:rFonts w:ascii="David" w:hAnsi="David" w:cs="David"/>
          <w:color w:val="0000FF"/>
          <w:sz w:val="24"/>
          <w:szCs w:val="24"/>
          <w:vertAlign w:val="superscript"/>
          <w:rtl/>
        </w:rPr>
        <w:footnoteReference w:customMarkFollows="1" w:id="222"/>
        <w:t>222</w:t>
      </w:r>
      <w:r>
        <w:rPr>
          <w:rFonts w:ascii="David" w:hAnsi="David" w:cs="David"/>
          <w:color w:val="000000"/>
          <w:sz w:val="24"/>
          <w:szCs w:val="24"/>
          <w:rtl/>
        </w:rPr>
        <w:t>. על הסוברים שלא אמרו שמים שבספוג פסולים ושבכלי כשרים לגבי מילוי אלא לגבי קידוש, עי' להלן, שם</w:t>
      </w:r>
      <w:r>
        <w:rPr>
          <w:rFonts w:ascii="David" w:hAnsi="David" w:cs="David"/>
          <w:color w:val="0000FF"/>
          <w:sz w:val="24"/>
          <w:szCs w:val="24"/>
          <w:vertAlign w:val="superscript"/>
          <w:rtl/>
        </w:rPr>
        <w:footnoteReference w:customMarkFollows="1" w:id="223"/>
        <w:t>223</w:t>
      </w:r>
      <w:r>
        <w:rPr>
          <w:rFonts w:ascii="David" w:hAnsi="David" w:cs="David"/>
          <w:color w:val="000000"/>
          <w:sz w:val="24"/>
          <w:szCs w:val="24"/>
          <w:rtl/>
        </w:rPr>
        <w:t>. על הממלא מבאר שנפל לתוכה חרסית או אדמה, עי' להלן, שם</w:t>
      </w:r>
      <w:r>
        <w:rPr>
          <w:rFonts w:ascii="David" w:hAnsi="David" w:cs="David"/>
          <w:color w:val="0000FF"/>
          <w:sz w:val="24"/>
          <w:szCs w:val="24"/>
          <w:vertAlign w:val="superscript"/>
          <w:rtl/>
        </w:rPr>
        <w:footnoteReference w:customMarkFollows="1" w:id="224"/>
        <w:t>224</w:t>
      </w:r>
      <w:r>
        <w:rPr>
          <w:rFonts w:ascii="David" w:hAnsi="David" w:cs="David"/>
          <w:color w:val="000000"/>
          <w:sz w:val="24"/>
          <w:szCs w:val="24"/>
          <w:rtl/>
        </w:rPr>
        <w:t xml:space="preserve">. </w:t>
      </w:r>
    </w:p>
    <w:p w14:paraId="6537948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[חיותם בכלי]</w:t>
      </w:r>
    </w:p>
    <w:p w14:paraId="204B2AF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מילא המים מן המעיין על ידי דבר שאינו כלי, ולאחר מכן נתנם לכלי, המילוי פסול מן התורה</w:t>
      </w:r>
      <w:r>
        <w:rPr>
          <w:rFonts w:ascii="David" w:hAnsi="David" w:cs="David"/>
          <w:color w:val="0000FF"/>
          <w:sz w:val="24"/>
          <w:szCs w:val="24"/>
          <w:vertAlign w:val="superscript"/>
          <w:rtl/>
        </w:rPr>
        <w:footnoteReference w:customMarkFollows="1" w:id="225"/>
        <w:t>225</w:t>
      </w:r>
      <w:r>
        <w:rPr>
          <w:rFonts w:ascii="David" w:hAnsi="David" w:cs="David"/>
          <w:color w:val="000000"/>
          <w:sz w:val="24"/>
          <w:szCs w:val="24"/>
          <w:rtl/>
        </w:rPr>
        <w:t>, שנאמר: מים חיים אל כלי</w:t>
      </w:r>
      <w:r>
        <w:rPr>
          <w:rFonts w:ascii="David" w:hAnsi="David" w:cs="David"/>
          <w:color w:val="0000FF"/>
          <w:sz w:val="24"/>
          <w:szCs w:val="24"/>
          <w:vertAlign w:val="superscript"/>
          <w:rtl/>
        </w:rPr>
        <w:footnoteReference w:customMarkFollows="1" w:id="226"/>
        <w:t>226</w:t>
      </w:r>
      <w:r>
        <w:rPr>
          <w:rFonts w:ascii="David" w:hAnsi="David" w:cs="David"/>
          <w:color w:val="000000"/>
          <w:sz w:val="24"/>
          <w:szCs w:val="24"/>
          <w:rtl/>
        </w:rPr>
        <w:t>, ללמד שינטלו בכלי ממקום חיותם</w:t>
      </w:r>
      <w:r>
        <w:rPr>
          <w:rFonts w:ascii="David" w:hAnsi="David" w:cs="David"/>
          <w:color w:val="0000FF"/>
          <w:sz w:val="24"/>
          <w:szCs w:val="24"/>
          <w:vertAlign w:val="superscript"/>
          <w:rtl/>
        </w:rPr>
        <w:footnoteReference w:customMarkFollows="1" w:id="227"/>
        <w:t>227</w:t>
      </w:r>
      <w:r>
        <w:rPr>
          <w:rFonts w:ascii="David" w:hAnsi="David" w:cs="David"/>
          <w:color w:val="000000"/>
          <w:sz w:val="24"/>
          <w:szCs w:val="24"/>
          <w:rtl/>
        </w:rPr>
        <w:t>, ואין די בכך שיהיו מים חיים בעודם במעיין</w:t>
      </w:r>
      <w:r>
        <w:rPr>
          <w:rFonts w:ascii="David" w:hAnsi="David" w:cs="David"/>
          <w:color w:val="0000FF"/>
          <w:sz w:val="24"/>
          <w:szCs w:val="24"/>
          <w:vertAlign w:val="superscript"/>
          <w:rtl/>
        </w:rPr>
        <w:footnoteReference w:customMarkFollows="1" w:id="228"/>
        <w:t>228</w:t>
      </w:r>
      <w:r>
        <w:rPr>
          <w:rFonts w:ascii="David" w:hAnsi="David" w:cs="David"/>
          <w:color w:val="000000"/>
          <w:sz w:val="24"/>
          <w:szCs w:val="24"/>
          <w:rtl/>
        </w:rPr>
        <w:t>. וכן דרשו: מים חיים אל כלי, שתהא חיותם בכלי</w:t>
      </w:r>
      <w:r>
        <w:rPr>
          <w:rFonts w:ascii="David" w:hAnsi="David" w:cs="David"/>
          <w:color w:val="0000FF"/>
          <w:sz w:val="24"/>
          <w:szCs w:val="24"/>
          <w:vertAlign w:val="superscript"/>
          <w:rtl/>
        </w:rPr>
        <w:footnoteReference w:customMarkFollows="1" w:id="229"/>
        <w:t>229</w:t>
      </w:r>
      <w:r>
        <w:rPr>
          <w:rFonts w:ascii="David" w:hAnsi="David" w:cs="David"/>
          <w:color w:val="000000"/>
          <w:sz w:val="24"/>
          <w:szCs w:val="24"/>
          <w:rtl/>
        </w:rPr>
        <w:t>, שכל שיש הפסק בין המעיין לכלי בדבר שאינו ראוי למילוי, אין זה בכלל "חיותם בכלי"</w:t>
      </w:r>
      <w:r>
        <w:rPr>
          <w:rFonts w:ascii="David" w:hAnsi="David" w:cs="David"/>
          <w:color w:val="0000FF"/>
          <w:sz w:val="24"/>
          <w:szCs w:val="24"/>
          <w:vertAlign w:val="superscript"/>
          <w:rtl/>
        </w:rPr>
        <w:footnoteReference w:customMarkFollows="1" w:id="230"/>
        <w:t>230</w:t>
      </w:r>
      <w:r>
        <w:rPr>
          <w:rFonts w:ascii="David" w:hAnsi="David" w:cs="David"/>
          <w:color w:val="000000"/>
          <w:sz w:val="24"/>
          <w:szCs w:val="24"/>
          <w:rtl/>
        </w:rPr>
        <w:t>. ויש שכתבו, שזהו ששנינו בתוספתא: זילף בידיו וברגליו ובחרסים של שוקת, פסול, מפני שלא נתמלאו בכלי</w:t>
      </w:r>
      <w:r>
        <w:rPr>
          <w:rFonts w:ascii="David" w:hAnsi="David" w:cs="David"/>
          <w:color w:val="0000FF"/>
          <w:sz w:val="24"/>
          <w:szCs w:val="24"/>
          <w:vertAlign w:val="superscript"/>
          <w:rtl/>
        </w:rPr>
        <w:footnoteReference w:customMarkFollows="1" w:id="231"/>
        <w:t>231</w:t>
      </w:r>
      <w:r>
        <w:rPr>
          <w:rFonts w:ascii="David" w:hAnsi="David" w:cs="David"/>
          <w:color w:val="000000"/>
          <w:sz w:val="24"/>
          <w:szCs w:val="24"/>
          <w:rtl/>
        </w:rPr>
        <w:t>, והיינו, שאם שאב מן המעיין בידיו או ברגליו או בחרסים, ושפכם לכלי, פסול, מפני שלא שאב בכלי תחילה, ופסקה חיותם</w:t>
      </w:r>
      <w:r>
        <w:rPr>
          <w:rFonts w:ascii="David" w:hAnsi="David" w:cs="David"/>
          <w:color w:val="0000FF"/>
          <w:sz w:val="24"/>
          <w:szCs w:val="24"/>
          <w:vertAlign w:val="superscript"/>
          <w:rtl/>
        </w:rPr>
        <w:footnoteReference w:customMarkFollows="1" w:id="232"/>
        <w:t>232</w:t>
      </w:r>
      <w:r>
        <w:rPr>
          <w:rFonts w:ascii="David" w:hAnsi="David" w:cs="David"/>
          <w:color w:val="000000"/>
          <w:sz w:val="24"/>
          <w:szCs w:val="24"/>
          <w:rtl/>
        </w:rPr>
        <w:t>, על המפרשים את התוספתא באופן אחר, עי' להלן</w:t>
      </w:r>
      <w:r>
        <w:rPr>
          <w:rFonts w:ascii="David" w:hAnsi="David" w:cs="David"/>
          <w:color w:val="0000FF"/>
          <w:sz w:val="24"/>
          <w:szCs w:val="24"/>
          <w:vertAlign w:val="superscript"/>
          <w:rtl/>
        </w:rPr>
        <w:footnoteReference w:customMarkFollows="1" w:id="233"/>
        <w:t>233</w:t>
      </w:r>
      <w:r>
        <w:rPr>
          <w:rFonts w:ascii="David" w:hAnsi="David" w:cs="David"/>
          <w:color w:val="000000"/>
          <w:sz w:val="24"/>
          <w:szCs w:val="24"/>
          <w:rtl/>
        </w:rPr>
        <w:t>. וכן הממלא בכלי שלא לשם מי חטאת - שבאופן זה פסול המילוי</w:t>
      </w:r>
      <w:r>
        <w:rPr>
          <w:rFonts w:ascii="David" w:hAnsi="David" w:cs="David"/>
          <w:color w:val="0000FF"/>
          <w:sz w:val="24"/>
          <w:szCs w:val="24"/>
          <w:vertAlign w:val="superscript"/>
          <w:rtl/>
        </w:rPr>
        <w:footnoteReference w:customMarkFollows="1" w:id="234"/>
        <w:t>234</w:t>
      </w:r>
      <w:r>
        <w:rPr>
          <w:rFonts w:ascii="David" w:hAnsi="David" w:cs="David"/>
          <w:color w:val="000000"/>
          <w:sz w:val="24"/>
          <w:szCs w:val="24"/>
          <w:rtl/>
        </w:rPr>
        <w:t xml:space="preserve"> - ולאחר מכן נתנם לכלי אחר לשם מי חטאת, אף המילוי האחרון פסול מן התורה, שאין זה בכלל "מים חיים אל כלי", לפי שכבר פסקה חיותם</w:t>
      </w:r>
      <w:r>
        <w:rPr>
          <w:rFonts w:ascii="David" w:hAnsi="David" w:cs="David"/>
          <w:color w:val="0000FF"/>
          <w:sz w:val="24"/>
          <w:szCs w:val="24"/>
          <w:vertAlign w:val="superscript"/>
          <w:rtl/>
        </w:rPr>
        <w:footnoteReference w:customMarkFollows="1" w:id="235"/>
        <w:t>235</w:t>
      </w:r>
      <w:r>
        <w:rPr>
          <w:rFonts w:ascii="David" w:hAnsi="David" w:cs="David"/>
          <w:color w:val="000000"/>
          <w:sz w:val="24"/>
          <w:szCs w:val="24"/>
          <w:rtl/>
        </w:rPr>
        <w:t xml:space="preserve">, וזה הוא שאמרו במים שבאו לאויר כלי שנתנו שלא לשם מי חטאת, ונתן כלי אחר וקיבלם לשם מי חטאת, שהמילוי פסול, הואיל וכבר באו לאויר הכלי הראשון בפסול, ואויר כלי </w:t>
      </w:r>
    </w:p>
    <w:p w14:paraId="7EBBE04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ככלי</w:t>
      </w:r>
      <w:r>
        <w:rPr>
          <w:rFonts w:ascii="David" w:hAnsi="David" w:cs="David"/>
          <w:color w:val="0000FF"/>
          <w:sz w:val="24"/>
          <w:szCs w:val="24"/>
          <w:vertAlign w:val="superscript"/>
          <w:rtl/>
        </w:rPr>
        <w:footnoteReference w:customMarkFollows="1" w:id="236"/>
        <w:t>236</w:t>
      </w:r>
      <w:r>
        <w:rPr>
          <w:rFonts w:ascii="David" w:hAnsi="David" w:cs="David"/>
          <w:color w:val="000000"/>
          <w:sz w:val="24"/>
          <w:szCs w:val="24"/>
          <w:rtl/>
        </w:rPr>
        <w:t>, ופסקה חיותם</w:t>
      </w:r>
      <w:r>
        <w:rPr>
          <w:rFonts w:ascii="David" w:hAnsi="David" w:cs="David"/>
          <w:color w:val="0000FF"/>
          <w:sz w:val="24"/>
          <w:szCs w:val="24"/>
          <w:vertAlign w:val="superscript"/>
          <w:rtl/>
        </w:rPr>
        <w:footnoteReference w:customMarkFollows="1" w:id="237"/>
        <w:t>237</w:t>
      </w:r>
      <w:r>
        <w:rPr>
          <w:rFonts w:ascii="David" w:hAnsi="David" w:cs="David"/>
          <w:color w:val="000000"/>
          <w:sz w:val="24"/>
          <w:szCs w:val="24"/>
          <w:rtl/>
        </w:rPr>
        <w:t>, ואף על פי שלא נפסק הקילוח, כיון שהוא בתוך כלי, פסקה חיותם</w:t>
      </w:r>
      <w:r>
        <w:rPr>
          <w:rFonts w:ascii="David" w:hAnsi="David" w:cs="David"/>
          <w:color w:val="0000FF"/>
          <w:sz w:val="24"/>
          <w:szCs w:val="24"/>
          <w:vertAlign w:val="superscript"/>
          <w:rtl/>
        </w:rPr>
        <w:footnoteReference w:customMarkFollows="1" w:id="238"/>
        <w:t>238</w:t>
      </w:r>
      <w:r>
        <w:rPr>
          <w:rFonts w:ascii="David" w:hAnsi="David" w:cs="David"/>
          <w:color w:val="000000"/>
          <w:sz w:val="24"/>
          <w:szCs w:val="24"/>
          <w:rtl/>
        </w:rPr>
        <w:t>. על ביאת המים לאויר כלי כשר, אם היא חשובה כמילוי, עי' לעיל</w:t>
      </w:r>
      <w:r>
        <w:rPr>
          <w:rFonts w:ascii="David" w:hAnsi="David" w:cs="David"/>
          <w:color w:val="0000FF"/>
          <w:sz w:val="24"/>
          <w:szCs w:val="24"/>
          <w:vertAlign w:val="superscript"/>
          <w:rtl/>
        </w:rPr>
        <w:footnoteReference w:customMarkFollows="1" w:id="239"/>
        <w:t>239</w:t>
      </w:r>
      <w:r>
        <w:rPr>
          <w:rFonts w:ascii="David" w:hAnsi="David" w:cs="David"/>
          <w:color w:val="000000"/>
          <w:sz w:val="24"/>
          <w:szCs w:val="24"/>
          <w:rtl/>
        </w:rPr>
        <w:t>. ומכל מקום, צינור המקלח מן המעיין, וכן כשעשה מדבר אחר כעין צינור, וקילחו המים דרכו, כשר, שאינו חשוב שפסקה חיותו</w:t>
      </w:r>
      <w:r>
        <w:rPr>
          <w:rFonts w:ascii="David" w:hAnsi="David" w:cs="David"/>
          <w:color w:val="0000FF"/>
          <w:sz w:val="24"/>
          <w:szCs w:val="24"/>
          <w:vertAlign w:val="superscript"/>
          <w:rtl/>
        </w:rPr>
        <w:footnoteReference w:customMarkFollows="1" w:id="240"/>
        <w:t>240</w:t>
      </w:r>
      <w:r>
        <w:rPr>
          <w:rFonts w:ascii="David" w:hAnsi="David" w:cs="David"/>
          <w:color w:val="000000"/>
          <w:sz w:val="24"/>
          <w:szCs w:val="24"/>
          <w:rtl/>
        </w:rPr>
        <w:t>. ספוג שהיה מונח בתוך הכלי בשעת המילוי, ובאו מים מן המעיין לספוג - לסוברים שאין המים שבספוג כשרים, כיון שאינו כלי</w:t>
      </w:r>
      <w:r>
        <w:rPr>
          <w:rFonts w:ascii="David" w:hAnsi="David" w:cs="David"/>
          <w:color w:val="0000FF"/>
          <w:sz w:val="24"/>
          <w:szCs w:val="24"/>
          <w:vertAlign w:val="superscript"/>
          <w:rtl/>
        </w:rPr>
        <w:footnoteReference w:customMarkFollows="1" w:id="241"/>
        <w:t>241</w:t>
      </w:r>
      <w:r>
        <w:rPr>
          <w:rFonts w:ascii="David" w:hAnsi="David" w:cs="David"/>
          <w:color w:val="000000"/>
          <w:sz w:val="24"/>
          <w:szCs w:val="24"/>
          <w:rtl/>
        </w:rPr>
        <w:t xml:space="preserve"> - וסחטם אחר כך אל תוך הכלי, יש מן הראשונים סוברים שהמים פסולים, לפי שלא נתמלאו בכלי תחילה</w:t>
      </w:r>
      <w:r>
        <w:rPr>
          <w:rFonts w:ascii="David" w:hAnsi="David" w:cs="David"/>
          <w:color w:val="0000FF"/>
          <w:sz w:val="24"/>
          <w:szCs w:val="24"/>
          <w:vertAlign w:val="superscript"/>
          <w:rtl/>
        </w:rPr>
        <w:footnoteReference w:customMarkFollows="1" w:id="242"/>
        <w:t>242</w:t>
      </w:r>
      <w:r>
        <w:rPr>
          <w:rFonts w:ascii="David" w:hAnsi="David" w:cs="David"/>
          <w:color w:val="000000"/>
          <w:sz w:val="24"/>
          <w:szCs w:val="24"/>
          <w:rtl/>
        </w:rPr>
        <w:t>, ויש מן האחרונים שכתבו בדעת ראשונים, שאף על פי שהיו מתחילה המים בספוג שאינו כלי, אינו גרוע מאופן שבאו לכלי על גבי דבר אחר שהם כשרים</w:t>
      </w:r>
      <w:r>
        <w:rPr>
          <w:rFonts w:ascii="David" w:hAnsi="David" w:cs="David"/>
          <w:color w:val="0000FF"/>
          <w:sz w:val="24"/>
          <w:szCs w:val="24"/>
          <w:vertAlign w:val="superscript"/>
          <w:rtl/>
        </w:rPr>
        <w:footnoteReference w:customMarkFollows="1" w:id="243"/>
        <w:t>243</w:t>
      </w:r>
      <w:r>
        <w:rPr>
          <w:rFonts w:ascii="David" w:hAnsi="David" w:cs="David"/>
          <w:color w:val="000000"/>
          <w:sz w:val="24"/>
          <w:szCs w:val="24"/>
          <w:rtl/>
        </w:rPr>
        <w:t xml:space="preserve">. על המעביר מכלי לכלי, בין לכלי כשר בין לכלי פסול, אם ומתי חשוב שאין חיותו בכלי מן התורה ומדרבנן, עי' להלן. </w:t>
      </w:r>
    </w:p>
    <w:p w14:paraId="089702F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[מכלי לכלי]</w:t>
      </w:r>
    </w:p>
    <w:p w14:paraId="245A9AF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קידוש המים, מן התורה אין צריך שיעשה באותו הכלי שבו נתמלאו המים מן המעיין</w:t>
      </w:r>
      <w:r>
        <w:rPr>
          <w:rFonts w:ascii="David" w:hAnsi="David" w:cs="David"/>
          <w:color w:val="0000FF"/>
          <w:sz w:val="24"/>
          <w:szCs w:val="24"/>
          <w:vertAlign w:val="superscript"/>
          <w:rtl/>
        </w:rPr>
        <w:footnoteReference w:customMarkFollows="1" w:id="244"/>
        <w:t>244</w:t>
      </w:r>
      <w:r>
        <w:rPr>
          <w:rFonts w:ascii="David" w:hAnsi="David" w:cs="David"/>
          <w:color w:val="000000"/>
          <w:sz w:val="24"/>
          <w:szCs w:val="24"/>
          <w:rtl/>
        </w:rPr>
        <w:t>, שהרי נאמר: ונתן וגו' אל כלי</w:t>
      </w:r>
      <w:r>
        <w:rPr>
          <w:rFonts w:ascii="David" w:hAnsi="David" w:cs="David"/>
          <w:color w:val="0000FF"/>
          <w:sz w:val="24"/>
          <w:szCs w:val="24"/>
          <w:vertAlign w:val="superscript"/>
          <w:rtl/>
        </w:rPr>
        <w:footnoteReference w:customMarkFollows="1" w:id="245"/>
        <w:t>245</w:t>
      </w:r>
      <w:r>
        <w:rPr>
          <w:rFonts w:ascii="David" w:hAnsi="David" w:cs="David"/>
          <w:color w:val="000000"/>
          <w:sz w:val="24"/>
          <w:szCs w:val="24"/>
          <w:rtl/>
        </w:rPr>
        <w:t>, ומלשון נתינה משמע שהיו המים תלושים קודם שנתנם בכלי לקדש</w:t>
      </w:r>
      <w:r>
        <w:rPr>
          <w:rFonts w:ascii="David" w:hAnsi="David" w:cs="David"/>
          <w:color w:val="0000FF"/>
          <w:sz w:val="24"/>
          <w:szCs w:val="24"/>
          <w:vertAlign w:val="superscript"/>
          <w:rtl/>
        </w:rPr>
        <w:footnoteReference w:customMarkFollows="1" w:id="246"/>
        <w:t>246</w:t>
      </w:r>
      <w:r>
        <w:rPr>
          <w:rFonts w:ascii="David" w:hAnsi="David" w:cs="David"/>
          <w:color w:val="000000"/>
          <w:sz w:val="24"/>
          <w:szCs w:val="24"/>
          <w:rtl/>
        </w:rPr>
        <w:t>, ואף אין לפסול את המים משום הדין שתהיה "חיותם בכלי"</w:t>
      </w:r>
      <w:r>
        <w:rPr>
          <w:rFonts w:ascii="David" w:hAnsi="David" w:cs="David"/>
          <w:color w:val="0000FF"/>
          <w:sz w:val="24"/>
          <w:szCs w:val="24"/>
          <w:vertAlign w:val="superscript"/>
          <w:rtl/>
        </w:rPr>
        <w:footnoteReference w:customMarkFollows="1" w:id="247"/>
        <w:t>247</w:t>
      </w:r>
      <w:r>
        <w:rPr>
          <w:rFonts w:ascii="David" w:hAnsi="David" w:cs="David"/>
          <w:color w:val="000000"/>
          <w:sz w:val="24"/>
          <w:szCs w:val="24"/>
          <w:rtl/>
        </w:rPr>
        <w:t>, שחשובים שחיותם בכלי מפני שמילא מתחילה בכלי הראוי לקדש בו</w:t>
      </w:r>
      <w:r>
        <w:rPr>
          <w:rFonts w:ascii="David" w:hAnsi="David" w:cs="David"/>
          <w:color w:val="0000FF"/>
          <w:sz w:val="24"/>
          <w:szCs w:val="24"/>
          <w:vertAlign w:val="superscript"/>
          <w:rtl/>
        </w:rPr>
        <w:footnoteReference w:customMarkFollows="1" w:id="248"/>
        <w:t>248</w:t>
      </w:r>
      <w:r>
        <w:rPr>
          <w:rFonts w:ascii="David" w:hAnsi="David" w:cs="David"/>
          <w:color w:val="000000"/>
          <w:sz w:val="24"/>
          <w:szCs w:val="24"/>
          <w:rtl/>
        </w:rPr>
        <w:t>. וצריך שיתקיימו דיני הנתינה, בנתינה לכלי שמקדש בו</w:t>
      </w:r>
      <w:r>
        <w:rPr>
          <w:rFonts w:ascii="David" w:hAnsi="David" w:cs="David"/>
          <w:color w:val="0000FF"/>
          <w:sz w:val="24"/>
          <w:szCs w:val="24"/>
          <w:vertAlign w:val="superscript"/>
          <w:rtl/>
        </w:rPr>
        <w:footnoteReference w:customMarkFollows="1" w:id="249"/>
        <w:t>249</w:t>
      </w:r>
      <w:r>
        <w:rPr>
          <w:rFonts w:ascii="David" w:hAnsi="David" w:cs="David"/>
          <w:color w:val="000000"/>
          <w:sz w:val="24"/>
          <w:szCs w:val="24"/>
          <w:rtl/>
        </w:rPr>
        <w:t>. ומכל מקום, מדרבנן, יש מן הראשונים שכתבו שצריך שיעשה הקידוש באותו כלי עצמו שבו נתמלאו מן המעיין, ולא שימלא בכלי אחר ויערה לזה, שמעלה עשו חכמים בפרה</w:t>
      </w:r>
      <w:r>
        <w:rPr>
          <w:rFonts w:ascii="David" w:hAnsi="David" w:cs="David"/>
          <w:color w:val="0000FF"/>
          <w:sz w:val="24"/>
          <w:szCs w:val="24"/>
          <w:vertAlign w:val="superscript"/>
          <w:rtl/>
        </w:rPr>
        <w:footnoteReference w:customMarkFollows="1" w:id="250"/>
        <w:t>250</w:t>
      </w:r>
      <w:r>
        <w:rPr>
          <w:rFonts w:ascii="David" w:hAnsi="David" w:cs="David"/>
          <w:color w:val="000000"/>
          <w:sz w:val="24"/>
          <w:szCs w:val="24"/>
          <w:rtl/>
        </w:rPr>
        <w:t>, והסמיכו מעלה זו על הכתוב: מים חיים אל כלי, ודרשו: שתהא חיותם בכלי, היינו באותו הכלי שהוא מקדש בו</w:t>
      </w:r>
      <w:r>
        <w:rPr>
          <w:rFonts w:ascii="David" w:hAnsi="David" w:cs="David"/>
          <w:color w:val="0000FF"/>
          <w:sz w:val="24"/>
          <w:szCs w:val="24"/>
          <w:vertAlign w:val="superscript"/>
          <w:rtl/>
        </w:rPr>
        <w:footnoteReference w:customMarkFollows="1" w:id="251"/>
        <w:t>251</w:t>
      </w:r>
      <w:r>
        <w:rPr>
          <w:rFonts w:ascii="David" w:hAnsi="David" w:cs="David"/>
          <w:color w:val="000000"/>
          <w:sz w:val="24"/>
          <w:szCs w:val="24"/>
          <w:rtl/>
        </w:rPr>
        <w:t xml:space="preserve">. על </w:t>
      </w:r>
    </w:p>
    <w:p w14:paraId="42F80DF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עיקר הדין הנלמד מן הדרשה "שתהא חיותם בכלי", עי' לעיל</w:t>
      </w:r>
      <w:r>
        <w:rPr>
          <w:rFonts w:ascii="David" w:hAnsi="David" w:cs="David"/>
          <w:color w:val="0000FF"/>
          <w:sz w:val="24"/>
          <w:szCs w:val="24"/>
          <w:vertAlign w:val="superscript"/>
          <w:rtl/>
        </w:rPr>
        <w:footnoteReference w:customMarkFollows="1" w:id="252"/>
        <w:t>252</w:t>
      </w:r>
      <w:r>
        <w:rPr>
          <w:rFonts w:ascii="David" w:hAnsi="David" w:cs="David"/>
          <w:color w:val="000000"/>
          <w:sz w:val="24"/>
          <w:szCs w:val="24"/>
          <w:rtl/>
        </w:rPr>
        <w:t>. מעלה זו, יש מן האחרונים שכתבו שאינה אלא לכתחילה, ובדיעבד אם העביר מכלי לכלי לא נפסלו המים</w:t>
      </w:r>
      <w:r>
        <w:rPr>
          <w:rFonts w:ascii="David" w:hAnsi="David" w:cs="David"/>
          <w:color w:val="0000FF"/>
          <w:sz w:val="24"/>
          <w:szCs w:val="24"/>
          <w:vertAlign w:val="superscript"/>
          <w:rtl/>
        </w:rPr>
        <w:footnoteReference w:customMarkFollows="1" w:id="253"/>
        <w:t>253</w:t>
      </w:r>
      <w:r>
        <w:rPr>
          <w:rFonts w:ascii="David" w:hAnsi="David" w:cs="David"/>
          <w:color w:val="000000"/>
          <w:sz w:val="24"/>
          <w:szCs w:val="24"/>
          <w:rtl/>
        </w:rPr>
        <w:t>, ויש סוברים שנפסלו המים</w:t>
      </w:r>
      <w:r>
        <w:rPr>
          <w:rFonts w:ascii="David" w:hAnsi="David" w:cs="David"/>
          <w:color w:val="0000FF"/>
          <w:sz w:val="24"/>
          <w:szCs w:val="24"/>
          <w:vertAlign w:val="superscript"/>
          <w:rtl/>
        </w:rPr>
        <w:footnoteReference w:customMarkFollows="1" w:id="254"/>
        <w:t>254</w:t>
      </w:r>
      <w:r>
        <w:rPr>
          <w:rFonts w:ascii="David" w:hAnsi="David" w:cs="David"/>
          <w:color w:val="000000"/>
          <w:sz w:val="24"/>
          <w:szCs w:val="24"/>
          <w:rtl/>
        </w:rPr>
        <w:t>. ויש מן הראשונים והאחרונים חולקים על כל זה, וסוברים שמי חטאת יכול הוא לכתחילה לערותם מכלי לכלי, ולקדש בכלי האחרון</w:t>
      </w:r>
      <w:r>
        <w:rPr>
          <w:rFonts w:ascii="David" w:hAnsi="David" w:cs="David"/>
          <w:color w:val="0000FF"/>
          <w:sz w:val="24"/>
          <w:szCs w:val="24"/>
          <w:vertAlign w:val="superscript"/>
          <w:rtl/>
        </w:rPr>
        <w:footnoteReference w:customMarkFollows="1" w:id="255"/>
        <w:t>255</w:t>
      </w:r>
      <w:r>
        <w:rPr>
          <w:rFonts w:ascii="David" w:hAnsi="David" w:cs="David"/>
          <w:color w:val="000000"/>
          <w:sz w:val="24"/>
          <w:szCs w:val="24"/>
          <w:rtl/>
        </w:rPr>
        <w:t>. על הסוברים שיש חילוקים בדין בין מילוי הכלי שמקדש בו, למילוי הכלי כשאינו מקדש בו אלא מעביר ממנו את המים לכלי אחר, עי' לעיל ולהלן</w:t>
      </w:r>
      <w:r>
        <w:rPr>
          <w:rFonts w:ascii="David" w:hAnsi="David" w:cs="David"/>
          <w:color w:val="0000FF"/>
          <w:sz w:val="24"/>
          <w:szCs w:val="24"/>
          <w:vertAlign w:val="superscript"/>
          <w:rtl/>
        </w:rPr>
        <w:footnoteReference w:customMarkFollows="1" w:id="256"/>
        <w:t>256</w:t>
      </w:r>
      <w:r>
        <w:rPr>
          <w:rFonts w:ascii="David" w:hAnsi="David" w:cs="David"/>
          <w:color w:val="000000"/>
          <w:sz w:val="24"/>
          <w:szCs w:val="24"/>
          <w:rtl/>
        </w:rPr>
        <w:t xml:space="preserve">. </w:t>
      </w:r>
    </w:p>
    <w:p w14:paraId="413D59F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[לאותו כלי]</w:t>
      </w:r>
    </w:p>
    <w:p w14:paraId="69B1DF6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המערה מכלי שמילא בו לכלי אחר וחוזר ומערה לכלי הראשון, יש שכתבו שאף זה חשוב כממלא מכלי לכלי, שיש סוברים שעשו חכמים מעלה שלא לקדש בו</w:t>
      </w:r>
      <w:r>
        <w:rPr>
          <w:rFonts w:ascii="David" w:hAnsi="David" w:cs="David"/>
          <w:color w:val="0000FF"/>
          <w:sz w:val="24"/>
          <w:szCs w:val="24"/>
          <w:vertAlign w:val="superscript"/>
          <w:rtl/>
        </w:rPr>
        <w:footnoteReference w:customMarkFollows="1" w:id="257"/>
        <w:t>257</w:t>
      </w:r>
      <w:r>
        <w:rPr>
          <w:rFonts w:ascii="David" w:hAnsi="David" w:cs="David"/>
          <w:color w:val="000000"/>
          <w:sz w:val="24"/>
          <w:szCs w:val="24"/>
          <w:rtl/>
        </w:rPr>
        <w:t>, ואף על פי שנמצא שהוא מקדש בכלי שמילא בו, לפי שמכלל המעלה שתהא חיותם של המים בכלי שמקדש בו, אנו למדים, שצריך שלא יהא הפסק לחיותם על ידי דבר שאינו מקדש בו</w:t>
      </w:r>
      <w:r>
        <w:rPr>
          <w:rFonts w:ascii="David" w:hAnsi="David" w:cs="David"/>
          <w:color w:val="0000FF"/>
          <w:sz w:val="24"/>
          <w:szCs w:val="24"/>
          <w:vertAlign w:val="superscript"/>
          <w:rtl/>
        </w:rPr>
        <w:footnoteReference w:customMarkFollows="1" w:id="258"/>
        <w:t>258</w:t>
      </w:r>
      <w:r>
        <w:rPr>
          <w:rFonts w:ascii="David" w:hAnsi="David" w:cs="David"/>
          <w:color w:val="000000"/>
          <w:sz w:val="24"/>
          <w:szCs w:val="24"/>
          <w:rtl/>
        </w:rPr>
        <w:t>, וכן כתבו אחרונים בדעת ראשונים, שאם אחר שמילא בכלי שהוא מקדש בו, שתה בעל חי מן המים, וחזר והקיא מהם לאותו הכלי, הוא בכלל ממלא מכלי לכלי</w:t>
      </w:r>
      <w:r>
        <w:rPr>
          <w:rFonts w:ascii="David" w:hAnsi="David" w:cs="David"/>
          <w:color w:val="0000FF"/>
          <w:sz w:val="24"/>
          <w:szCs w:val="24"/>
          <w:vertAlign w:val="superscript"/>
          <w:rtl/>
        </w:rPr>
        <w:footnoteReference w:customMarkFollows="1" w:id="259"/>
        <w:t>259</w:t>
      </w:r>
      <w:r>
        <w:rPr>
          <w:rFonts w:ascii="David" w:hAnsi="David" w:cs="David"/>
          <w:color w:val="000000"/>
          <w:sz w:val="24"/>
          <w:szCs w:val="24"/>
          <w:rtl/>
        </w:rPr>
        <w:t>, וכן כלי שאחר שנתמלא נפל לתוכו ספוג - שאינו כלי</w:t>
      </w:r>
      <w:r>
        <w:rPr>
          <w:rFonts w:ascii="David" w:hAnsi="David" w:cs="David"/>
          <w:color w:val="0000FF"/>
          <w:sz w:val="24"/>
          <w:szCs w:val="24"/>
          <w:vertAlign w:val="superscript"/>
          <w:rtl/>
        </w:rPr>
        <w:footnoteReference w:customMarkFollows="1" w:id="260"/>
        <w:t>260</w:t>
      </w:r>
      <w:r>
        <w:rPr>
          <w:rFonts w:ascii="David" w:hAnsi="David" w:cs="David"/>
          <w:color w:val="000000"/>
          <w:sz w:val="24"/>
          <w:szCs w:val="24"/>
          <w:rtl/>
        </w:rPr>
        <w:t xml:space="preserve"> - ונתמלא מן הכלי, כתבו אחרונים, שאף על פי ששבו המים ונסחטו מהספוג אל הכלי, הרי זה כממלא מכלי לכלי</w:t>
      </w:r>
      <w:r>
        <w:rPr>
          <w:rFonts w:ascii="David" w:hAnsi="David" w:cs="David"/>
          <w:color w:val="0000FF"/>
          <w:sz w:val="24"/>
          <w:szCs w:val="24"/>
          <w:vertAlign w:val="superscript"/>
          <w:rtl/>
        </w:rPr>
        <w:footnoteReference w:customMarkFollows="1" w:id="261"/>
        <w:t>261</w:t>
      </w:r>
      <w:r>
        <w:rPr>
          <w:rFonts w:ascii="David" w:hAnsi="David" w:cs="David"/>
          <w:color w:val="000000"/>
          <w:sz w:val="24"/>
          <w:szCs w:val="24"/>
          <w:rtl/>
        </w:rPr>
        <w:t>. על הסוברים שבאופן שיצאו המים למקום שאינו ראוי לקידוש, אף על פי שחזרו לכלי כשר, פסולים המים מן התורה לדברי הכל, עי' להלן</w:t>
      </w:r>
      <w:r>
        <w:rPr>
          <w:rFonts w:ascii="David" w:hAnsi="David" w:cs="David"/>
          <w:color w:val="0000FF"/>
          <w:sz w:val="24"/>
          <w:szCs w:val="24"/>
          <w:vertAlign w:val="superscript"/>
          <w:rtl/>
        </w:rPr>
        <w:footnoteReference w:customMarkFollows="1" w:id="262"/>
        <w:t>262</w:t>
      </w:r>
      <w:r>
        <w:rPr>
          <w:rFonts w:ascii="David" w:hAnsi="David" w:cs="David"/>
          <w:color w:val="000000"/>
          <w:sz w:val="24"/>
          <w:szCs w:val="24"/>
          <w:rtl/>
        </w:rPr>
        <w:t xml:space="preserve">. </w:t>
      </w:r>
    </w:p>
    <w:p w14:paraId="67D5525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[אופנים שיכול לערות לד"ה]</w:t>
      </w:r>
    </w:p>
    <w:p w14:paraId="7DC54D4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כמה אופנים יש שכתבו שאינם בכלל ממלא מכלי לכלי, ויכולים לערות לכלי השני לדברי הכל: הממלא את הכלי הראשון מתחילה על מנת לערות ממנו לכלי אחר ולקדש בו, יש מן האחרונים שכתבו שאינו בכלל ממלא מכלי לכלי, שחשוב שנעשה המילוי בכלי האחרון, והכלי הראשון אינו אלא אמצעי למילוי, והרי </w:t>
      </w:r>
    </w:p>
    <w:p w14:paraId="15320C3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הוא מקדש בכלי שמילא בו</w:t>
      </w:r>
      <w:r>
        <w:rPr>
          <w:rFonts w:ascii="David" w:hAnsi="David" w:cs="David"/>
          <w:color w:val="0000FF"/>
          <w:sz w:val="24"/>
          <w:szCs w:val="24"/>
          <w:vertAlign w:val="superscript"/>
          <w:rtl/>
        </w:rPr>
        <w:footnoteReference w:customMarkFollows="1" w:id="263"/>
        <w:t>263</w:t>
      </w:r>
      <w:r>
        <w:rPr>
          <w:rFonts w:ascii="David" w:hAnsi="David" w:cs="David"/>
          <w:color w:val="000000"/>
          <w:sz w:val="24"/>
          <w:szCs w:val="24"/>
          <w:rtl/>
        </w:rPr>
        <w:t>. הממלא מי חטאת מן המעיין בשני כלים, ומערה מכלי אחד לשני, יש מן האחרונים שצידדו לומר שאינו חשוב כממלא מכלי לכלי, שכיון שבאו המים לכלי שכבר היו בו מים חיים, לא פסקה חיותם, ונעשו כולם מים חיים בכלי</w:t>
      </w:r>
      <w:r>
        <w:rPr>
          <w:rFonts w:ascii="David" w:hAnsi="David" w:cs="David"/>
          <w:color w:val="0000FF"/>
          <w:sz w:val="24"/>
          <w:szCs w:val="24"/>
          <w:vertAlign w:val="superscript"/>
          <w:rtl/>
        </w:rPr>
        <w:footnoteReference w:customMarkFollows="1" w:id="264"/>
        <w:t>264</w:t>
      </w:r>
      <w:r>
        <w:rPr>
          <w:rFonts w:ascii="David" w:hAnsi="David" w:cs="David"/>
          <w:color w:val="000000"/>
          <w:sz w:val="24"/>
          <w:szCs w:val="24"/>
          <w:rtl/>
        </w:rPr>
        <w:t>. הממלא בכלי גדול והיה בתוכו כלי קטן ונתמלא מן הגדול, יש מן האחרונים שכתבו שהמים שבכלי הקטן אינם חשובים כנתמלאו מכלי לכלי, שכיון שהקטן היה בתוך הגדול כשמילאוהו, ככלי אחד הם חשובים</w:t>
      </w:r>
      <w:r>
        <w:rPr>
          <w:rFonts w:ascii="David" w:hAnsi="David" w:cs="David"/>
          <w:color w:val="0000FF"/>
          <w:sz w:val="24"/>
          <w:szCs w:val="24"/>
          <w:vertAlign w:val="superscript"/>
          <w:rtl/>
        </w:rPr>
        <w:footnoteReference w:customMarkFollows="1" w:id="265"/>
        <w:t>265</w:t>
      </w:r>
      <w:r>
        <w:rPr>
          <w:rFonts w:ascii="David" w:hAnsi="David" w:cs="David"/>
          <w:color w:val="000000"/>
          <w:sz w:val="24"/>
          <w:szCs w:val="24"/>
          <w:rtl/>
        </w:rPr>
        <w:t xml:space="preserve">. </w:t>
      </w:r>
    </w:p>
    <w:p w14:paraId="3C0C2E3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[כשהעבירו לכלי שאין ראוי למילוי]</w:t>
      </w:r>
    </w:p>
    <w:p w14:paraId="3A56CF3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מילא את המים בכלי הראוי למילוי, והריקם לכלי אחר שאינו ראוי למילוי - או שהריקם לכלי שלא לשם מי חטאת</w:t>
      </w:r>
      <w:r>
        <w:rPr>
          <w:rFonts w:ascii="David" w:hAnsi="David" w:cs="David"/>
          <w:color w:val="0000FF"/>
          <w:sz w:val="24"/>
          <w:szCs w:val="24"/>
          <w:vertAlign w:val="superscript"/>
          <w:rtl/>
        </w:rPr>
        <w:footnoteReference w:customMarkFollows="1" w:id="266"/>
        <w:t>266</w:t>
      </w:r>
      <w:r>
        <w:rPr>
          <w:rFonts w:ascii="David" w:hAnsi="David" w:cs="David"/>
          <w:color w:val="000000"/>
          <w:sz w:val="24"/>
          <w:szCs w:val="24"/>
          <w:rtl/>
        </w:rPr>
        <w:t xml:space="preserve"> - יש מן הראשונים סוברים, שאפילו החזיר את המים לכלי הראשון, נפסלו לדברי הכל, לפי שאין חיותם בכלי</w:t>
      </w:r>
      <w:r>
        <w:rPr>
          <w:rFonts w:ascii="David" w:hAnsi="David" w:cs="David"/>
          <w:color w:val="0000FF"/>
          <w:sz w:val="24"/>
          <w:szCs w:val="24"/>
          <w:vertAlign w:val="superscript"/>
          <w:rtl/>
        </w:rPr>
        <w:footnoteReference w:customMarkFollows="1" w:id="267"/>
        <w:t>267</w:t>
      </w:r>
      <w:r>
        <w:rPr>
          <w:rFonts w:ascii="David" w:hAnsi="David" w:cs="David"/>
          <w:color w:val="000000"/>
          <w:sz w:val="24"/>
          <w:szCs w:val="24"/>
          <w:rtl/>
        </w:rPr>
        <w:t>, ולדעתם, אותה ששנינו שאם שתה נחש מן הצלוחית של מי חטאת, אמר רבן גמליאל שנפסלו המים מפני שמקיא לתוכם</w:t>
      </w:r>
      <w:r>
        <w:rPr>
          <w:rFonts w:ascii="David" w:hAnsi="David" w:cs="David"/>
          <w:color w:val="0000FF"/>
          <w:sz w:val="24"/>
          <w:szCs w:val="24"/>
          <w:vertAlign w:val="superscript"/>
          <w:rtl/>
        </w:rPr>
        <w:footnoteReference w:customMarkFollows="1" w:id="268"/>
        <w:t>268</w:t>
      </w:r>
      <w:r>
        <w:rPr>
          <w:rFonts w:ascii="David" w:hAnsi="David" w:cs="David"/>
          <w:color w:val="000000"/>
          <w:sz w:val="24"/>
          <w:szCs w:val="24"/>
          <w:rtl/>
        </w:rPr>
        <w:t>, לענין מים שנתמלאו ולא נתקדשו שנינו, שהנחש שותה אותם וחוזר מקיאם, והרי זה דומה לממלא בכלי וחוזר ומערה לדבר שאינו כלי, שאפילו חוזר ומערה לכלי, אין זה בכלל "חיותם בכלי"</w:t>
      </w:r>
      <w:r>
        <w:rPr>
          <w:rFonts w:ascii="David" w:hAnsi="David" w:cs="David"/>
          <w:color w:val="0000FF"/>
          <w:sz w:val="24"/>
          <w:szCs w:val="24"/>
          <w:vertAlign w:val="superscript"/>
          <w:rtl/>
        </w:rPr>
        <w:footnoteReference w:customMarkFollows="1" w:id="269"/>
        <w:t>269</w:t>
      </w:r>
      <w:r>
        <w:rPr>
          <w:rFonts w:ascii="David" w:hAnsi="David" w:cs="David"/>
          <w:color w:val="000000"/>
          <w:sz w:val="24"/>
          <w:szCs w:val="24"/>
          <w:rtl/>
        </w:rPr>
        <w:t>, ומהם שכתבו שאף בעלי חיים אחרים ששנינו שהמים נפסלים בשתייתם</w:t>
      </w:r>
      <w:r>
        <w:rPr>
          <w:rFonts w:ascii="David" w:hAnsi="David" w:cs="David"/>
          <w:color w:val="0000FF"/>
          <w:sz w:val="24"/>
          <w:szCs w:val="24"/>
          <w:vertAlign w:val="superscript"/>
          <w:rtl/>
        </w:rPr>
        <w:footnoteReference w:customMarkFollows="1" w:id="270"/>
        <w:t>270</w:t>
      </w:r>
      <w:r>
        <w:rPr>
          <w:rFonts w:ascii="David" w:hAnsi="David" w:cs="David"/>
          <w:color w:val="000000"/>
          <w:sz w:val="24"/>
          <w:szCs w:val="24"/>
          <w:rtl/>
        </w:rPr>
        <w:t>, הוא מטעם זה, שכיון שהיו המים בפיהם, אף על פי שחזרו למקום הראוי לקידוש, נפסלו</w:t>
      </w:r>
      <w:r>
        <w:rPr>
          <w:rFonts w:ascii="David" w:hAnsi="David" w:cs="David"/>
          <w:color w:val="0000FF"/>
          <w:sz w:val="24"/>
          <w:szCs w:val="24"/>
          <w:vertAlign w:val="superscript"/>
          <w:rtl/>
        </w:rPr>
        <w:footnoteReference w:customMarkFollows="1" w:id="271"/>
        <w:t>271</w:t>
      </w:r>
      <w:r>
        <w:rPr>
          <w:rFonts w:ascii="David" w:hAnsi="David" w:cs="David"/>
          <w:color w:val="000000"/>
          <w:sz w:val="24"/>
          <w:szCs w:val="24"/>
          <w:rtl/>
        </w:rPr>
        <w:t>, על הסוברים שהפסול של מים ששתה בעל חיים מהם הוא מחמת מעלה דרבנן משום שלא נשאר באותו כלי משעה שפסקה חיותו, עי' לעיל</w:t>
      </w:r>
      <w:r>
        <w:rPr>
          <w:rFonts w:ascii="David" w:hAnsi="David" w:cs="David"/>
          <w:color w:val="0000FF"/>
          <w:sz w:val="24"/>
          <w:szCs w:val="24"/>
          <w:vertAlign w:val="superscript"/>
          <w:rtl/>
        </w:rPr>
        <w:footnoteReference w:customMarkFollows="1" w:id="272"/>
        <w:t>272</w:t>
      </w:r>
      <w:r>
        <w:rPr>
          <w:rFonts w:ascii="David" w:hAnsi="David" w:cs="David"/>
          <w:color w:val="000000"/>
          <w:sz w:val="24"/>
          <w:szCs w:val="24"/>
          <w:rtl/>
        </w:rPr>
        <w:t>, על הסוברים שבעלי חיים פוסלים בשתייתם מטעמים אחרים, עי' לעיל: המים</w:t>
      </w:r>
      <w:r>
        <w:rPr>
          <w:rFonts w:ascii="David" w:hAnsi="David" w:cs="David"/>
          <w:color w:val="0000FF"/>
          <w:sz w:val="24"/>
          <w:szCs w:val="24"/>
          <w:vertAlign w:val="superscript"/>
          <w:rtl/>
        </w:rPr>
        <w:footnoteReference w:customMarkFollows="1" w:id="273"/>
        <w:t>273</w:t>
      </w:r>
      <w:r>
        <w:rPr>
          <w:rFonts w:ascii="David" w:hAnsi="David" w:cs="David"/>
          <w:color w:val="000000"/>
          <w:sz w:val="24"/>
          <w:szCs w:val="24"/>
          <w:rtl/>
        </w:rPr>
        <w:t>, ולהלן: פסולם על ידי תערובת</w:t>
      </w:r>
      <w:r>
        <w:rPr>
          <w:rFonts w:ascii="David" w:hAnsi="David" w:cs="David"/>
          <w:color w:val="0000FF"/>
          <w:sz w:val="24"/>
          <w:szCs w:val="24"/>
          <w:vertAlign w:val="superscript"/>
          <w:rtl/>
        </w:rPr>
        <w:footnoteReference w:customMarkFollows="1" w:id="274"/>
        <w:t>274</w:t>
      </w:r>
      <w:r>
        <w:rPr>
          <w:rFonts w:ascii="David" w:hAnsi="David" w:cs="David"/>
          <w:color w:val="000000"/>
          <w:sz w:val="24"/>
          <w:szCs w:val="24"/>
          <w:rtl/>
        </w:rPr>
        <w:t>. ויש סוברים שאם מילא המים בכלי הראוי למילוי, והריקם לכלי אחר שאינו ראוי למילוי, רשאי לחזור ולערותם לכלי הראוי ולקדש בו</w:t>
      </w:r>
      <w:r>
        <w:rPr>
          <w:rFonts w:ascii="David" w:hAnsi="David" w:cs="David"/>
          <w:color w:val="0000FF"/>
          <w:sz w:val="24"/>
          <w:szCs w:val="24"/>
          <w:vertAlign w:val="superscript"/>
          <w:rtl/>
        </w:rPr>
        <w:footnoteReference w:customMarkFollows="1" w:id="275"/>
        <w:t>275</w:t>
      </w:r>
      <w:r>
        <w:rPr>
          <w:rFonts w:ascii="David" w:hAnsi="David" w:cs="David"/>
          <w:color w:val="000000"/>
          <w:sz w:val="24"/>
          <w:szCs w:val="24"/>
          <w:rtl/>
        </w:rPr>
        <w:t xml:space="preserve"> - לסוברים שמותר לערות מי חטאת מכלי לכלי, ולקדש בכלי האחרון</w:t>
      </w:r>
      <w:r>
        <w:rPr>
          <w:rFonts w:ascii="David" w:hAnsi="David" w:cs="David"/>
          <w:color w:val="0000FF"/>
          <w:sz w:val="24"/>
          <w:szCs w:val="24"/>
          <w:vertAlign w:val="superscript"/>
          <w:rtl/>
        </w:rPr>
        <w:footnoteReference w:customMarkFollows="1" w:id="276"/>
        <w:t>276</w:t>
      </w:r>
      <w:r>
        <w:rPr>
          <w:rFonts w:ascii="David" w:hAnsi="David" w:cs="David"/>
          <w:color w:val="000000"/>
          <w:sz w:val="24"/>
          <w:szCs w:val="24"/>
          <w:rtl/>
        </w:rPr>
        <w:t xml:space="preserve"> - שלאחר שכבר נתקיים מילוי המים החיים אל הכלי, לא מתבטל דין זה בהפסק על ידי כלי שאינו ראוי למילוי</w:t>
      </w:r>
      <w:r>
        <w:rPr>
          <w:rFonts w:ascii="David" w:hAnsi="David" w:cs="David"/>
          <w:color w:val="0000FF"/>
          <w:sz w:val="24"/>
          <w:szCs w:val="24"/>
          <w:vertAlign w:val="superscript"/>
          <w:rtl/>
        </w:rPr>
        <w:footnoteReference w:customMarkFollows="1" w:id="277"/>
        <w:t>277</w:t>
      </w:r>
      <w:r>
        <w:rPr>
          <w:rFonts w:ascii="David" w:hAnsi="David" w:cs="David"/>
          <w:color w:val="000000"/>
          <w:sz w:val="24"/>
          <w:szCs w:val="24"/>
          <w:rtl/>
        </w:rPr>
        <w:t xml:space="preserve">, וכן יש מן האחרונים שכתבו, שאם מילא בכלי </w:t>
      </w:r>
    </w:p>
    <w:p w14:paraId="2F57A6B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מן המעיין, ואחר כך נפל לתוכו ספוג ונתמלא מים - וספוג פסול למילוי, לסוברים כן</w:t>
      </w:r>
      <w:r>
        <w:rPr>
          <w:rFonts w:ascii="David" w:hAnsi="David" w:cs="David"/>
          <w:color w:val="0000FF"/>
          <w:sz w:val="24"/>
          <w:szCs w:val="24"/>
          <w:vertAlign w:val="superscript"/>
          <w:rtl/>
        </w:rPr>
        <w:footnoteReference w:customMarkFollows="1" w:id="278"/>
        <w:t>278</w:t>
      </w:r>
      <w:r>
        <w:rPr>
          <w:rFonts w:ascii="David" w:hAnsi="David" w:cs="David"/>
          <w:color w:val="000000"/>
          <w:sz w:val="24"/>
          <w:szCs w:val="24"/>
          <w:rtl/>
        </w:rPr>
        <w:t xml:space="preserve"> - רשאי לסחוט מן הספוג לכלי, וכל המים כשרים</w:t>
      </w:r>
      <w:r>
        <w:rPr>
          <w:rFonts w:ascii="David" w:hAnsi="David" w:cs="David"/>
          <w:color w:val="0000FF"/>
          <w:sz w:val="24"/>
          <w:szCs w:val="24"/>
          <w:vertAlign w:val="superscript"/>
          <w:rtl/>
        </w:rPr>
        <w:footnoteReference w:customMarkFollows="1" w:id="279"/>
        <w:t>279</w:t>
      </w:r>
      <w:r>
        <w:rPr>
          <w:rFonts w:ascii="David" w:hAnsi="David" w:cs="David"/>
          <w:color w:val="000000"/>
          <w:sz w:val="24"/>
          <w:szCs w:val="24"/>
          <w:rtl/>
        </w:rPr>
        <w:t>, וכן אם מילא חבית, ונשברה, ונטל מים בידו ונתנם לשוקת כשר, שכיון שהיה עיקר המילוי בכלי, אף שנותן אחר כך לשוקת שלא בכלי כשר</w:t>
      </w:r>
      <w:r>
        <w:rPr>
          <w:rFonts w:ascii="David" w:hAnsi="David" w:cs="David"/>
          <w:color w:val="0000FF"/>
          <w:sz w:val="24"/>
          <w:szCs w:val="24"/>
          <w:vertAlign w:val="superscript"/>
          <w:rtl/>
        </w:rPr>
        <w:footnoteReference w:customMarkFollows="1" w:id="280"/>
        <w:t>280</w:t>
      </w:r>
      <w:r>
        <w:rPr>
          <w:rFonts w:ascii="David" w:hAnsi="David" w:cs="David"/>
          <w:color w:val="000000"/>
          <w:sz w:val="24"/>
          <w:szCs w:val="24"/>
          <w:rtl/>
        </w:rPr>
        <w:t xml:space="preserve">. </w:t>
      </w:r>
    </w:p>
    <w:p w14:paraId="50A4072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[כח הממלא]</w:t>
      </w:r>
    </w:p>
    <w:p w14:paraId="3FB4793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מילוי המים בכלי, יש מן הראשונים שכתבו בדעת תנאים שאין צריך שיעשה מכח האדם, אלא אפילו נתמלא מאליו, כשר</w:t>
      </w:r>
      <w:r>
        <w:rPr>
          <w:rFonts w:ascii="David" w:hAnsi="David" w:cs="David"/>
          <w:color w:val="0000FF"/>
          <w:sz w:val="24"/>
          <w:szCs w:val="24"/>
          <w:vertAlign w:val="superscript"/>
          <w:rtl/>
        </w:rPr>
        <w:footnoteReference w:customMarkFollows="1" w:id="281"/>
        <w:t>281</w:t>
      </w:r>
      <w:r>
        <w:rPr>
          <w:rFonts w:ascii="David" w:hAnsi="David" w:cs="David"/>
          <w:color w:val="000000"/>
          <w:sz w:val="24"/>
          <w:szCs w:val="24"/>
          <w:rtl/>
        </w:rPr>
        <w:t>, שכן שנינו בתוספתא: אמרו לפני ר' עקיבא משום ר' ישמעאל, כוסות של אבן היו תלויות בקרני שוורים, כיון ששוורים שחו לשתות, נתמלאו הכוסות</w:t>
      </w:r>
      <w:r>
        <w:rPr>
          <w:rFonts w:ascii="David" w:hAnsi="David" w:cs="David"/>
          <w:color w:val="0000FF"/>
          <w:sz w:val="24"/>
          <w:szCs w:val="24"/>
          <w:vertAlign w:val="superscript"/>
          <w:rtl/>
        </w:rPr>
        <w:footnoteReference w:customMarkFollows="1" w:id="282"/>
        <w:t>282</w:t>
      </w:r>
      <w:r>
        <w:rPr>
          <w:rFonts w:ascii="David" w:hAnsi="David" w:cs="David"/>
          <w:color w:val="000000"/>
          <w:sz w:val="24"/>
          <w:szCs w:val="24"/>
          <w:rtl/>
        </w:rPr>
        <w:t>. על כך שמכל מקום צריך שיעשה המילוי לדעת אדם לשם מי חטאת, ועל הסוברים שצריך שיהא מעורב בו מעשה אדם לשמה, עי' להלן</w:t>
      </w:r>
      <w:r>
        <w:rPr>
          <w:rFonts w:ascii="David" w:hAnsi="David" w:cs="David"/>
          <w:color w:val="0000FF"/>
          <w:sz w:val="24"/>
          <w:szCs w:val="24"/>
          <w:vertAlign w:val="superscript"/>
          <w:rtl/>
        </w:rPr>
        <w:footnoteReference w:customMarkFollows="1" w:id="283"/>
        <w:t>283</w:t>
      </w:r>
      <w:r>
        <w:rPr>
          <w:rFonts w:ascii="David" w:hAnsi="David" w:cs="David"/>
          <w:color w:val="000000"/>
          <w:sz w:val="24"/>
          <w:szCs w:val="24"/>
          <w:rtl/>
        </w:rPr>
        <w:t>. ויש מן הראשונים והאחרונים שכתבו בדעת תנאים, שצריך שהמילוי יעשה מכח האדם, ולא שיתמלא מאליו</w:t>
      </w:r>
      <w:r>
        <w:rPr>
          <w:rFonts w:ascii="David" w:hAnsi="David" w:cs="David"/>
          <w:color w:val="0000FF"/>
          <w:sz w:val="24"/>
          <w:szCs w:val="24"/>
          <w:vertAlign w:val="superscript"/>
          <w:rtl/>
        </w:rPr>
        <w:footnoteReference w:customMarkFollows="1" w:id="284"/>
        <w:t>284</w:t>
      </w:r>
      <w:r>
        <w:rPr>
          <w:rFonts w:ascii="David" w:hAnsi="David" w:cs="David"/>
          <w:color w:val="000000"/>
          <w:sz w:val="24"/>
          <w:szCs w:val="24"/>
          <w:rtl/>
        </w:rPr>
        <w:t>, וכן במזלף מים מן המעיין החוצה, ועל ידי הזילוף נזרקו מעט מים לכלי, יש מן האחרונים שכתבו, שאינו חשוב מילוי מכח אדם, אלא בגרמא*, שאינו מזלף המים לכלי, אלא שעל ידי הזילוף נזרקו מעט מים אף לכלי, ופסול</w:t>
      </w:r>
      <w:r>
        <w:rPr>
          <w:rFonts w:ascii="David" w:hAnsi="David" w:cs="David"/>
          <w:color w:val="0000FF"/>
          <w:sz w:val="24"/>
          <w:szCs w:val="24"/>
          <w:vertAlign w:val="superscript"/>
          <w:rtl/>
        </w:rPr>
        <w:footnoteReference w:customMarkFollows="1" w:id="285"/>
        <w:t>285</w:t>
      </w:r>
      <w:r>
        <w:rPr>
          <w:rFonts w:ascii="David" w:hAnsi="David" w:cs="David"/>
          <w:color w:val="000000"/>
          <w:sz w:val="24"/>
          <w:szCs w:val="24"/>
          <w:rtl/>
        </w:rPr>
        <w:t>, ולדעתם זהו ששנינו בתוספתא: זילף בידיו וברגליו ובחרסין של שוקת, פסול, מפני שלא נתמלאו בכלי</w:t>
      </w:r>
      <w:r>
        <w:rPr>
          <w:rFonts w:ascii="David" w:hAnsi="David" w:cs="David"/>
          <w:color w:val="0000FF"/>
          <w:sz w:val="24"/>
          <w:szCs w:val="24"/>
          <w:vertAlign w:val="superscript"/>
          <w:rtl/>
        </w:rPr>
        <w:footnoteReference w:customMarkFollows="1" w:id="286"/>
        <w:t>286</w:t>
      </w:r>
      <w:r>
        <w:rPr>
          <w:rFonts w:ascii="David" w:hAnsi="David" w:cs="David"/>
          <w:color w:val="000000"/>
          <w:sz w:val="24"/>
          <w:szCs w:val="24"/>
          <w:rtl/>
        </w:rPr>
        <w:t>, על המפרשים את התוספתא באופן אחר, עי' לעיל</w:t>
      </w:r>
      <w:r>
        <w:rPr>
          <w:rFonts w:ascii="David" w:hAnsi="David" w:cs="David"/>
          <w:color w:val="0000FF"/>
          <w:sz w:val="24"/>
          <w:szCs w:val="24"/>
          <w:vertAlign w:val="superscript"/>
          <w:rtl/>
        </w:rPr>
        <w:footnoteReference w:customMarkFollows="1" w:id="287"/>
        <w:t>287</w:t>
      </w:r>
      <w:r>
        <w:rPr>
          <w:rFonts w:ascii="David" w:hAnsi="David" w:cs="David"/>
          <w:color w:val="000000"/>
          <w:sz w:val="24"/>
          <w:szCs w:val="24"/>
          <w:rtl/>
        </w:rPr>
        <w:t>. ומכל מקום, אם נתן כלי במקום הילוך המעיין כדי שיתמלא הכלי, כתבו אחרונים שחשוב מילוי מכח האדם</w:t>
      </w:r>
      <w:r>
        <w:rPr>
          <w:rFonts w:ascii="David" w:hAnsi="David" w:cs="David"/>
          <w:color w:val="0000FF"/>
          <w:sz w:val="24"/>
          <w:szCs w:val="24"/>
          <w:vertAlign w:val="superscript"/>
          <w:rtl/>
        </w:rPr>
        <w:footnoteReference w:customMarkFollows="1" w:id="288"/>
        <w:t>288</w:t>
      </w:r>
      <w:r>
        <w:rPr>
          <w:rFonts w:ascii="David" w:hAnsi="David" w:cs="David"/>
          <w:color w:val="000000"/>
          <w:sz w:val="24"/>
          <w:szCs w:val="24"/>
          <w:rtl/>
        </w:rPr>
        <w:t>. על כלי שכשמניחו על גבי המים הוא צף, ולבסוף שוקע ומתמלא, שיש שכתבו שאינו חשוב מילוי בכח אדם, עי' להלן</w:t>
      </w:r>
      <w:r>
        <w:rPr>
          <w:rFonts w:ascii="David" w:hAnsi="David" w:cs="David"/>
          <w:color w:val="0000FF"/>
          <w:sz w:val="24"/>
          <w:szCs w:val="24"/>
          <w:vertAlign w:val="superscript"/>
          <w:rtl/>
        </w:rPr>
        <w:footnoteReference w:customMarkFollows="1" w:id="289"/>
        <w:t>289</w:t>
      </w:r>
      <w:r>
        <w:rPr>
          <w:rFonts w:ascii="David" w:hAnsi="David" w:cs="David"/>
          <w:color w:val="000000"/>
          <w:sz w:val="24"/>
          <w:szCs w:val="24"/>
          <w:rtl/>
        </w:rPr>
        <w:t>. ולדעה זו כתבו אחרונים, שאם נתמלא על ידי בעלי חיים, פסול</w:t>
      </w:r>
      <w:r>
        <w:rPr>
          <w:rFonts w:ascii="David" w:hAnsi="David" w:cs="David"/>
          <w:color w:val="0000FF"/>
          <w:sz w:val="24"/>
          <w:szCs w:val="24"/>
          <w:vertAlign w:val="superscript"/>
          <w:rtl/>
        </w:rPr>
        <w:footnoteReference w:customMarkFollows="1" w:id="290"/>
        <w:t>290</w:t>
      </w:r>
      <w:r>
        <w:rPr>
          <w:rFonts w:ascii="David" w:hAnsi="David" w:cs="David"/>
          <w:color w:val="000000"/>
          <w:sz w:val="24"/>
          <w:szCs w:val="24"/>
          <w:rtl/>
        </w:rPr>
        <w:t>, ואותה ששנינו בתוספתא, שיש סוברים שכיון ששחו שוורים לשתות נתמלאו הכוסות</w:t>
      </w:r>
      <w:r>
        <w:rPr>
          <w:rFonts w:ascii="David" w:hAnsi="David" w:cs="David"/>
          <w:color w:val="0000FF"/>
          <w:sz w:val="24"/>
          <w:szCs w:val="24"/>
          <w:vertAlign w:val="superscript"/>
          <w:rtl/>
        </w:rPr>
        <w:footnoteReference w:customMarkFollows="1" w:id="291"/>
        <w:t>291</w:t>
      </w:r>
      <w:r>
        <w:rPr>
          <w:rFonts w:ascii="David" w:hAnsi="David" w:cs="David"/>
          <w:color w:val="000000"/>
          <w:sz w:val="24"/>
          <w:szCs w:val="24"/>
          <w:rtl/>
        </w:rPr>
        <w:t>, ולא מילאו ביד, מפני חשש טומאת-התהום*</w:t>
      </w:r>
      <w:r>
        <w:rPr>
          <w:rFonts w:ascii="David" w:hAnsi="David" w:cs="David"/>
          <w:color w:val="0000FF"/>
          <w:sz w:val="24"/>
          <w:szCs w:val="24"/>
          <w:vertAlign w:val="superscript"/>
          <w:rtl/>
        </w:rPr>
        <w:footnoteReference w:customMarkFollows="1" w:id="292"/>
        <w:t>292</w:t>
      </w:r>
      <w:r>
        <w:rPr>
          <w:rFonts w:ascii="David" w:hAnsi="David" w:cs="David"/>
          <w:color w:val="000000"/>
          <w:sz w:val="24"/>
          <w:szCs w:val="24"/>
          <w:rtl/>
        </w:rPr>
        <w:t xml:space="preserve">, יש מהם שכתבו, </w:t>
      </w:r>
    </w:p>
    <w:p w14:paraId="099AA5A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שהסוברים כן חולקים על התנאים הסוברים שצריך שיהא המילוי מכח האדם</w:t>
      </w:r>
      <w:r>
        <w:rPr>
          <w:rFonts w:ascii="David" w:hAnsi="David" w:cs="David"/>
          <w:color w:val="0000FF"/>
          <w:sz w:val="24"/>
          <w:szCs w:val="24"/>
          <w:vertAlign w:val="superscript"/>
          <w:rtl/>
        </w:rPr>
        <w:footnoteReference w:customMarkFollows="1" w:id="293"/>
        <w:t>293</w:t>
      </w:r>
      <w:r>
        <w:rPr>
          <w:rFonts w:ascii="David" w:hAnsi="David" w:cs="David"/>
          <w:color w:val="000000"/>
          <w:sz w:val="24"/>
          <w:szCs w:val="24"/>
          <w:rtl/>
        </w:rPr>
        <w:t>, ויש מהם שכתבו שלא אמרו כן אלא במילוי לטהרת הכהן השורף את הפרה, והקלו במילוי זה מפני שלא היה אלא למעלה בעלמא, שאותו כהן בחזקת טהרה היה</w:t>
      </w:r>
      <w:r>
        <w:rPr>
          <w:rFonts w:ascii="David" w:hAnsi="David" w:cs="David"/>
          <w:color w:val="0000FF"/>
          <w:sz w:val="24"/>
          <w:szCs w:val="24"/>
          <w:vertAlign w:val="superscript"/>
          <w:rtl/>
        </w:rPr>
        <w:footnoteReference w:customMarkFollows="1" w:id="294"/>
        <w:t>294</w:t>
      </w:r>
      <w:r>
        <w:rPr>
          <w:rFonts w:ascii="David" w:hAnsi="David" w:cs="David"/>
          <w:color w:val="000000"/>
          <w:sz w:val="24"/>
          <w:szCs w:val="24"/>
          <w:rtl/>
        </w:rPr>
        <w:t>, ויש מהם שפירשו, שלא על ידי השוורים נתמלאו, אלא על ידי האדם הרוכב עליהם, אלא שכיון שהיו הכוסות תלויות בקרני השוורים, בקל היו יכולים למלאותן בלא חשש טומאה, ולא היו הממלאים צריכים להוציא עצמם לחוץ</w:t>
      </w:r>
      <w:r>
        <w:rPr>
          <w:rFonts w:ascii="David" w:hAnsi="David" w:cs="David"/>
          <w:color w:val="0000FF"/>
          <w:sz w:val="24"/>
          <w:szCs w:val="24"/>
          <w:vertAlign w:val="superscript"/>
          <w:rtl/>
        </w:rPr>
        <w:footnoteReference w:customMarkFollows="1" w:id="295"/>
        <w:t>295</w:t>
      </w:r>
      <w:r>
        <w:rPr>
          <w:rFonts w:ascii="David" w:hAnsi="David" w:cs="David"/>
          <w:color w:val="000000"/>
          <w:sz w:val="24"/>
          <w:szCs w:val="24"/>
          <w:rtl/>
        </w:rPr>
        <w:t>. ומן האחרונים יש שכתב, שאף לסוברים שנתמלא מאליו פסול, אם נתמלא על ידי בעלי חיים, כשר, שנאמר בכתוב "ונתן", ולא הצריך הכתוב כח אדם דוקא, אלא כח נותן כלשהו, ובלבד שלא יתמלא מאליו</w:t>
      </w:r>
      <w:r>
        <w:rPr>
          <w:rFonts w:ascii="David" w:hAnsi="David" w:cs="David"/>
          <w:color w:val="0000FF"/>
          <w:sz w:val="24"/>
          <w:szCs w:val="24"/>
          <w:vertAlign w:val="superscript"/>
          <w:rtl/>
        </w:rPr>
        <w:footnoteReference w:customMarkFollows="1" w:id="296"/>
        <w:t>296</w:t>
      </w:r>
      <w:r>
        <w:rPr>
          <w:rFonts w:ascii="David" w:hAnsi="David" w:cs="David"/>
          <w:color w:val="000000"/>
          <w:sz w:val="24"/>
          <w:szCs w:val="24"/>
          <w:rtl/>
        </w:rPr>
        <w:t xml:space="preserve">. </w:t>
      </w:r>
    </w:p>
    <w:p w14:paraId="0CD1780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[מילוי ביד]</w:t>
      </w:r>
    </w:p>
    <w:p w14:paraId="5AF7145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מילוי המים, נחלקו אם צריך לעשותו ביד - לסוברים שאם נתמלאו המים מאליהם פסול</w:t>
      </w:r>
      <w:r>
        <w:rPr>
          <w:rFonts w:ascii="David" w:hAnsi="David" w:cs="David"/>
          <w:color w:val="0000FF"/>
          <w:sz w:val="24"/>
          <w:szCs w:val="24"/>
          <w:vertAlign w:val="superscript"/>
          <w:rtl/>
        </w:rPr>
        <w:footnoteReference w:customMarkFollows="1" w:id="297"/>
        <w:t>297</w:t>
      </w:r>
      <w:r>
        <w:rPr>
          <w:rFonts w:ascii="David" w:hAnsi="David" w:cs="David"/>
          <w:color w:val="000000"/>
          <w:sz w:val="24"/>
          <w:szCs w:val="24"/>
          <w:rtl/>
        </w:rPr>
        <w:t xml:space="preserve"> - יש שכתבו בדעת תנאים, שצריך שימלא האדם בידיו את הכלי, ולא שישלשל את הכלי בחבל וימלא</w:t>
      </w:r>
      <w:r>
        <w:rPr>
          <w:rFonts w:ascii="David" w:hAnsi="David" w:cs="David"/>
          <w:color w:val="0000FF"/>
          <w:sz w:val="24"/>
          <w:szCs w:val="24"/>
          <w:vertAlign w:val="superscript"/>
          <w:rtl/>
        </w:rPr>
        <w:footnoteReference w:customMarkFollows="1" w:id="298"/>
        <w:t>298</w:t>
      </w:r>
      <w:r>
        <w:rPr>
          <w:rFonts w:ascii="David" w:hAnsi="David" w:cs="David"/>
          <w:color w:val="000000"/>
          <w:sz w:val="24"/>
          <w:szCs w:val="24"/>
          <w:rtl/>
        </w:rPr>
        <w:t>, ופירשו אחרונים, שכיון שנאמר: ונתן עליו</w:t>
      </w:r>
      <w:r>
        <w:rPr>
          <w:rFonts w:ascii="David" w:hAnsi="David" w:cs="David"/>
          <w:color w:val="0000FF"/>
          <w:sz w:val="24"/>
          <w:szCs w:val="24"/>
          <w:vertAlign w:val="superscript"/>
          <w:rtl/>
        </w:rPr>
        <w:footnoteReference w:customMarkFollows="1" w:id="299"/>
        <w:t>299</w:t>
      </w:r>
      <w:r>
        <w:rPr>
          <w:rFonts w:ascii="David" w:hAnsi="David" w:cs="David"/>
          <w:color w:val="000000"/>
          <w:sz w:val="24"/>
          <w:szCs w:val="24"/>
          <w:rtl/>
        </w:rPr>
        <w:t>, משמע, בידיו ממש</w:t>
      </w:r>
      <w:r>
        <w:rPr>
          <w:rFonts w:ascii="David" w:hAnsi="David" w:cs="David"/>
          <w:color w:val="0000FF"/>
          <w:sz w:val="24"/>
          <w:szCs w:val="24"/>
          <w:vertAlign w:val="superscript"/>
          <w:rtl/>
        </w:rPr>
        <w:footnoteReference w:customMarkFollows="1" w:id="300"/>
        <w:t>300</w:t>
      </w:r>
      <w:r>
        <w:rPr>
          <w:rFonts w:ascii="David" w:hAnsi="David" w:cs="David"/>
          <w:color w:val="000000"/>
          <w:sz w:val="24"/>
          <w:szCs w:val="24"/>
          <w:rtl/>
        </w:rPr>
        <w:t>, ולדעתם מטעם זה שנינו לענין מילוי, שלדעת תנא קמא, וכן הלכה, ירדו ומלאום</w:t>
      </w:r>
      <w:r>
        <w:rPr>
          <w:rFonts w:ascii="David" w:hAnsi="David" w:cs="David"/>
          <w:color w:val="0000FF"/>
          <w:sz w:val="24"/>
          <w:szCs w:val="24"/>
          <w:vertAlign w:val="superscript"/>
          <w:rtl/>
        </w:rPr>
        <w:footnoteReference w:customMarkFollows="1" w:id="301"/>
        <w:t>301</w:t>
      </w:r>
      <w:r>
        <w:rPr>
          <w:rFonts w:ascii="David" w:hAnsi="David" w:cs="David"/>
          <w:color w:val="000000"/>
          <w:sz w:val="24"/>
          <w:szCs w:val="24"/>
          <w:rtl/>
        </w:rPr>
        <w:t>, ולא היו משלשלים בחבל</w:t>
      </w:r>
      <w:r>
        <w:rPr>
          <w:rFonts w:ascii="David" w:hAnsi="David" w:cs="David"/>
          <w:color w:val="0000FF"/>
          <w:sz w:val="24"/>
          <w:szCs w:val="24"/>
          <w:vertAlign w:val="superscript"/>
          <w:rtl/>
        </w:rPr>
        <w:footnoteReference w:customMarkFollows="1" w:id="302"/>
        <w:t>302</w:t>
      </w:r>
      <w:r>
        <w:rPr>
          <w:rFonts w:ascii="David" w:hAnsi="David" w:cs="David"/>
          <w:color w:val="000000"/>
          <w:sz w:val="24"/>
          <w:szCs w:val="24"/>
          <w:rtl/>
        </w:rPr>
        <w:t>. על המפרשים בדעת תנא קמא שבא לומר שיכולים לירד ולמלאות, משום שאין חוששים לטומאת התהום בשפת הנהר, עי' להלן: פסולם מחמת טומאה</w:t>
      </w:r>
      <w:r>
        <w:rPr>
          <w:rFonts w:ascii="David" w:hAnsi="David" w:cs="David"/>
          <w:color w:val="0000FF"/>
          <w:sz w:val="24"/>
          <w:szCs w:val="24"/>
          <w:vertAlign w:val="superscript"/>
          <w:rtl/>
        </w:rPr>
        <w:footnoteReference w:customMarkFollows="1" w:id="303"/>
        <w:t>303</w:t>
      </w:r>
      <w:r>
        <w:rPr>
          <w:rFonts w:ascii="David" w:hAnsi="David" w:cs="David"/>
          <w:color w:val="000000"/>
          <w:sz w:val="24"/>
          <w:szCs w:val="24"/>
          <w:rtl/>
        </w:rPr>
        <w:t>. ויש שכתבו בדעת תנאים, שאף אם שלשל בחבל, כשר</w:t>
      </w:r>
      <w:r>
        <w:rPr>
          <w:rFonts w:ascii="David" w:hAnsi="David" w:cs="David"/>
          <w:color w:val="0000FF"/>
          <w:sz w:val="24"/>
          <w:szCs w:val="24"/>
          <w:vertAlign w:val="superscript"/>
          <w:rtl/>
        </w:rPr>
        <w:footnoteReference w:customMarkFollows="1" w:id="304"/>
        <w:t>304</w:t>
      </w:r>
      <w:r>
        <w:rPr>
          <w:rFonts w:ascii="David" w:hAnsi="David" w:cs="David"/>
          <w:color w:val="000000"/>
          <w:sz w:val="24"/>
          <w:szCs w:val="24"/>
          <w:rtl/>
        </w:rPr>
        <w:t xml:space="preserve"> - אף על פי שלדעתם נתמלא מאליו פסול - ומהם שפירשו כן אותה ששנינו, שהיו מוליכים חבל לצורך המילוי</w:t>
      </w:r>
      <w:r>
        <w:rPr>
          <w:rFonts w:ascii="David" w:hAnsi="David" w:cs="David"/>
          <w:color w:val="0000FF"/>
          <w:sz w:val="24"/>
          <w:szCs w:val="24"/>
          <w:vertAlign w:val="superscript"/>
          <w:rtl/>
        </w:rPr>
        <w:footnoteReference w:customMarkFollows="1" w:id="305"/>
        <w:t>305</w:t>
      </w:r>
      <w:r>
        <w:rPr>
          <w:rFonts w:ascii="David" w:hAnsi="David" w:cs="David"/>
          <w:color w:val="000000"/>
          <w:sz w:val="24"/>
          <w:szCs w:val="24"/>
          <w:rtl/>
        </w:rPr>
        <w:t>, שהתנאים ששנו כן חולקים על התנאים הסוברים שצריך מילוי בידים, וסוברים שאף אם שלשל בחבל כשר</w:t>
      </w:r>
      <w:r>
        <w:rPr>
          <w:rFonts w:ascii="David" w:hAnsi="David" w:cs="David"/>
          <w:color w:val="0000FF"/>
          <w:sz w:val="24"/>
          <w:szCs w:val="24"/>
          <w:vertAlign w:val="superscript"/>
          <w:rtl/>
        </w:rPr>
        <w:footnoteReference w:customMarkFollows="1" w:id="306"/>
        <w:t>306</w:t>
      </w:r>
      <w:r>
        <w:rPr>
          <w:rFonts w:ascii="David" w:hAnsi="David" w:cs="David"/>
          <w:color w:val="000000"/>
          <w:sz w:val="24"/>
          <w:szCs w:val="24"/>
          <w:rtl/>
        </w:rPr>
        <w:t>. ויש מן האחרונים שכתבו, שאף הסוברים שהמשלשל בחבל וממלא אינו כשר למילוי, מודים שאין צריך מילוי בידים, ולא אמרו כן אלא במילוי הנעשה בכלים שטבעם לצוף על פני המים - כגון כלי גללים וכלי אבנים וכלי אדמה</w:t>
      </w:r>
      <w:r>
        <w:rPr>
          <w:rFonts w:ascii="David" w:hAnsi="David" w:cs="David"/>
          <w:color w:val="0000FF"/>
          <w:sz w:val="24"/>
          <w:szCs w:val="24"/>
          <w:vertAlign w:val="superscript"/>
          <w:rtl/>
        </w:rPr>
        <w:footnoteReference w:customMarkFollows="1" w:id="307"/>
        <w:t>307</w:t>
      </w:r>
      <w:r>
        <w:rPr>
          <w:rFonts w:ascii="David" w:hAnsi="David" w:cs="David"/>
          <w:color w:val="000000"/>
          <w:sz w:val="24"/>
          <w:szCs w:val="24"/>
          <w:rtl/>
        </w:rPr>
        <w:t xml:space="preserve"> - שמתחילה כשמשלשלים אותם הם צפים ואינם מתמלאים, ואחר שמונחים זמן מה במים, אזי הם מתמלאים מאליהם, וכבר פסק כח הממלא, אבל המשלשל כלי היורד למים מיד, ונתמלא מכח השלשול, הרי זה חשוב מילוי, ואין צריך מילוי בידו</w:t>
      </w:r>
      <w:r>
        <w:rPr>
          <w:rFonts w:ascii="David" w:hAnsi="David" w:cs="David"/>
          <w:color w:val="0000FF"/>
          <w:sz w:val="24"/>
          <w:szCs w:val="24"/>
          <w:vertAlign w:val="superscript"/>
          <w:rtl/>
        </w:rPr>
        <w:footnoteReference w:customMarkFollows="1" w:id="308"/>
        <w:t>308</w:t>
      </w:r>
      <w:r>
        <w:rPr>
          <w:rFonts w:ascii="David" w:hAnsi="David" w:cs="David"/>
          <w:color w:val="000000"/>
          <w:sz w:val="24"/>
          <w:szCs w:val="24"/>
          <w:rtl/>
        </w:rPr>
        <w:t xml:space="preserve">. ויש מן </w:t>
      </w:r>
    </w:p>
    <w:p w14:paraId="53D3247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האחרונים מחלקים, שלא הצריכו שימלא את הכלי בידיו אלא כשהוא ממלא את הכלי שבו עתידים לקדש את המים, אבל רשאי הוא לשלשל בחבל ולמלאות מים בכלי, כדי ליתנם אחר כך בכלי אחר לצורך הקידוש - על כך שאפשר להעביר המים אחר מילוים לכלי אחר ולקדש בו, ועל הסוברים שמדרבנן צריך שיהיה המילוי דוקא בכלי שמקדש בו, עי' לעיל</w:t>
      </w:r>
      <w:r>
        <w:rPr>
          <w:rFonts w:ascii="David" w:hAnsi="David" w:cs="David"/>
          <w:color w:val="0000FF"/>
          <w:sz w:val="24"/>
          <w:szCs w:val="24"/>
          <w:vertAlign w:val="superscript"/>
          <w:rtl/>
        </w:rPr>
        <w:footnoteReference w:customMarkFollows="1" w:id="309"/>
        <w:t>309</w:t>
      </w:r>
      <w:r>
        <w:rPr>
          <w:rFonts w:ascii="David" w:hAnsi="David" w:cs="David"/>
          <w:color w:val="000000"/>
          <w:sz w:val="24"/>
          <w:szCs w:val="24"/>
          <w:rtl/>
        </w:rPr>
        <w:t xml:space="preserve"> - לפי שלא נאמר "ונתן עליו" אלא לענין הכלי שבו הוא מקדש</w:t>
      </w:r>
      <w:r>
        <w:rPr>
          <w:rFonts w:ascii="David" w:hAnsi="David" w:cs="David"/>
          <w:color w:val="0000FF"/>
          <w:sz w:val="24"/>
          <w:szCs w:val="24"/>
          <w:vertAlign w:val="superscript"/>
          <w:rtl/>
        </w:rPr>
        <w:footnoteReference w:customMarkFollows="1" w:id="310"/>
        <w:t>310</w:t>
      </w:r>
      <w:r>
        <w:rPr>
          <w:rFonts w:ascii="David" w:hAnsi="David" w:cs="David"/>
          <w:color w:val="000000"/>
          <w:sz w:val="24"/>
          <w:szCs w:val="24"/>
          <w:rtl/>
        </w:rPr>
        <w:t>. על הסוברים שאפילו כשנפל הכלי ונתמלא מאליו, אם חוזר ומעלהו בידו מן המעיין חשוב מילוי בידים, עי' לעיל</w:t>
      </w:r>
      <w:r>
        <w:rPr>
          <w:rFonts w:ascii="David" w:hAnsi="David" w:cs="David"/>
          <w:color w:val="0000FF"/>
          <w:sz w:val="24"/>
          <w:szCs w:val="24"/>
          <w:vertAlign w:val="superscript"/>
          <w:rtl/>
        </w:rPr>
        <w:footnoteReference w:customMarkFollows="1" w:id="311"/>
        <w:t>311</w:t>
      </w:r>
      <w:r>
        <w:rPr>
          <w:rFonts w:ascii="David" w:hAnsi="David" w:cs="David"/>
          <w:color w:val="000000"/>
          <w:sz w:val="24"/>
          <w:szCs w:val="24"/>
          <w:rtl/>
        </w:rPr>
        <w:t xml:space="preserve">. </w:t>
      </w:r>
    </w:p>
    <w:p w14:paraId="662BD10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לסוברים שמילוי על ידי שלשול כלי אל המעיין כשר</w:t>
      </w:r>
      <w:r>
        <w:rPr>
          <w:rFonts w:ascii="David" w:hAnsi="David" w:cs="David"/>
          <w:color w:val="0000FF"/>
          <w:sz w:val="24"/>
          <w:szCs w:val="24"/>
          <w:vertAlign w:val="superscript"/>
          <w:rtl/>
        </w:rPr>
        <w:footnoteReference w:customMarkFollows="1" w:id="312"/>
        <w:t>312</w:t>
      </w:r>
      <w:r>
        <w:rPr>
          <w:rFonts w:ascii="David" w:hAnsi="David" w:cs="David"/>
          <w:color w:val="000000"/>
          <w:sz w:val="24"/>
          <w:szCs w:val="24"/>
          <w:rtl/>
        </w:rPr>
        <w:t>, אם שלשל הכלי אל המעיין ונתמלא, ובעודו במים נפסק החבל מידו, יש מן הראשונים הגורסים שנחלקו בדבר תנאים בתוספתא, שלדעת חכמים צריך לערות את המים ולחזור ולמלא, ולדעת רבן שמעון בן גמליאל אין צריך לערות ולחזור ולמלא</w:t>
      </w:r>
      <w:r>
        <w:rPr>
          <w:rFonts w:ascii="David" w:hAnsi="David" w:cs="David"/>
          <w:color w:val="0000FF"/>
          <w:sz w:val="24"/>
          <w:szCs w:val="24"/>
          <w:vertAlign w:val="superscript"/>
          <w:rtl/>
        </w:rPr>
        <w:footnoteReference w:customMarkFollows="1" w:id="313"/>
        <w:t>313</w:t>
      </w:r>
      <w:r>
        <w:rPr>
          <w:rFonts w:ascii="David" w:hAnsi="David" w:cs="David"/>
          <w:color w:val="000000"/>
          <w:sz w:val="24"/>
          <w:szCs w:val="24"/>
          <w:rtl/>
        </w:rPr>
        <w:t>, ופירשו טעמם, שלדעת חכמים גזרו שמא יבואו להכשיר אף בנפסק החבל קודם שנתמלא הכלי, ונפל ונתמלא מאליו - שהמילוי פסול כיון שאינו מכח אדם, לסוברים כן</w:t>
      </w:r>
      <w:r>
        <w:rPr>
          <w:rFonts w:ascii="David" w:hAnsi="David" w:cs="David"/>
          <w:color w:val="0000FF"/>
          <w:sz w:val="24"/>
          <w:szCs w:val="24"/>
          <w:vertAlign w:val="superscript"/>
          <w:rtl/>
        </w:rPr>
        <w:footnoteReference w:customMarkFollows="1" w:id="314"/>
        <w:t>314</w:t>
      </w:r>
      <w:r>
        <w:rPr>
          <w:rFonts w:ascii="David" w:hAnsi="David" w:cs="David"/>
          <w:color w:val="000000"/>
          <w:sz w:val="24"/>
          <w:szCs w:val="24"/>
          <w:rtl/>
        </w:rPr>
        <w:t xml:space="preserve"> - ולדעת רבן שמעון בן גמליאל לא גזרו גזירה זו</w:t>
      </w:r>
      <w:r>
        <w:rPr>
          <w:rFonts w:ascii="David" w:hAnsi="David" w:cs="David"/>
          <w:color w:val="0000FF"/>
          <w:sz w:val="24"/>
          <w:szCs w:val="24"/>
          <w:vertAlign w:val="superscript"/>
          <w:rtl/>
        </w:rPr>
        <w:footnoteReference w:customMarkFollows="1" w:id="315"/>
        <w:t>315</w:t>
      </w:r>
      <w:r>
        <w:rPr>
          <w:rFonts w:ascii="David" w:hAnsi="David" w:cs="David"/>
          <w:color w:val="000000"/>
          <w:sz w:val="24"/>
          <w:szCs w:val="24"/>
          <w:rtl/>
        </w:rPr>
        <w:t xml:space="preserve">. </w:t>
      </w:r>
    </w:p>
    <w:p w14:paraId="39FF294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[הווייתם על ידי טהרה]</w:t>
      </w:r>
    </w:p>
    <w:p w14:paraId="0CDE541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מילוי המים בכלי בסיוע דבר המקבל טומאה, פסול</w:t>
      </w:r>
      <w:r>
        <w:rPr>
          <w:rFonts w:ascii="David" w:hAnsi="David" w:cs="David"/>
          <w:color w:val="0000FF"/>
          <w:sz w:val="24"/>
          <w:szCs w:val="24"/>
          <w:vertAlign w:val="superscript"/>
          <w:rtl/>
        </w:rPr>
        <w:footnoteReference w:customMarkFollows="1" w:id="316"/>
        <w:t>316</w:t>
      </w:r>
      <w:r>
        <w:rPr>
          <w:rFonts w:ascii="David" w:hAnsi="David" w:cs="David"/>
          <w:color w:val="000000"/>
          <w:sz w:val="24"/>
          <w:szCs w:val="24"/>
          <w:rtl/>
        </w:rPr>
        <w:t>, וכן שנינו, שאם נתן ידו או רגלו או עלי ירקות - שהם מקבלים טומאה</w:t>
      </w:r>
      <w:r>
        <w:rPr>
          <w:rFonts w:ascii="David" w:hAnsi="David" w:cs="David"/>
          <w:color w:val="0000FF"/>
          <w:sz w:val="24"/>
          <w:szCs w:val="24"/>
          <w:vertAlign w:val="superscript"/>
          <w:rtl/>
        </w:rPr>
        <w:footnoteReference w:customMarkFollows="1" w:id="317"/>
        <w:t>317</w:t>
      </w:r>
      <w:r>
        <w:rPr>
          <w:rFonts w:ascii="David" w:hAnsi="David" w:cs="David"/>
          <w:color w:val="000000"/>
          <w:sz w:val="24"/>
          <w:szCs w:val="24"/>
          <w:rtl/>
        </w:rPr>
        <w:t xml:space="preserve"> - כדי שיעברו המים לחבית - שעשה מדברים אלו כעין צינור שיעברו מים דרכם לחבית</w:t>
      </w:r>
      <w:r>
        <w:rPr>
          <w:rFonts w:ascii="David" w:hAnsi="David" w:cs="David"/>
          <w:color w:val="0000FF"/>
          <w:sz w:val="24"/>
          <w:szCs w:val="24"/>
          <w:vertAlign w:val="superscript"/>
          <w:rtl/>
        </w:rPr>
        <w:footnoteReference w:customMarkFollows="1" w:id="318"/>
        <w:t>318</w:t>
      </w:r>
      <w:r>
        <w:rPr>
          <w:rFonts w:ascii="David" w:hAnsi="David" w:cs="David"/>
          <w:color w:val="000000"/>
          <w:sz w:val="24"/>
          <w:szCs w:val="24"/>
          <w:rtl/>
        </w:rPr>
        <w:t xml:space="preserve"> - הרי אלו פסולים, ואם עשה כן בעלי קנים או בעלי אגוז - שאינם מקבלים טומאה</w:t>
      </w:r>
      <w:r>
        <w:rPr>
          <w:rFonts w:ascii="David" w:hAnsi="David" w:cs="David"/>
          <w:color w:val="0000FF"/>
          <w:sz w:val="24"/>
          <w:szCs w:val="24"/>
          <w:vertAlign w:val="superscript"/>
          <w:rtl/>
        </w:rPr>
        <w:footnoteReference w:customMarkFollows="1" w:id="319"/>
        <w:t>319</w:t>
      </w:r>
      <w:r>
        <w:rPr>
          <w:rFonts w:ascii="David" w:hAnsi="David" w:cs="David"/>
          <w:color w:val="000000"/>
          <w:sz w:val="24"/>
          <w:szCs w:val="24"/>
          <w:rtl/>
        </w:rPr>
        <w:t xml:space="preserve"> - המים כשרים</w:t>
      </w:r>
      <w:r>
        <w:rPr>
          <w:rFonts w:ascii="David" w:hAnsi="David" w:cs="David"/>
          <w:color w:val="0000FF"/>
          <w:sz w:val="24"/>
          <w:szCs w:val="24"/>
          <w:vertAlign w:val="superscript"/>
          <w:rtl/>
        </w:rPr>
        <w:footnoteReference w:customMarkFollows="1" w:id="320"/>
        <w:t>320</w:t>
      </w:r>
      <w:r>
        <w:rPr>
          <w:rFonts w:ascii="David" w:hAnsi="David" w:cs="David"/>
          <w:color w:val="000000"/>
          <w:sz w:val="24"/>
          <w:szCs w:val="24"/>
          <w:rtl/>
        </w:rPr>
        <w:t>, שדרשו: אך מעין ובור מקוה מים יהיה טהור</w:t>
      </w:r>
      <w:r>
        <w:rPr>
          <w:rFonts w:ascii="David" w:hAnsi="David" w:cs="David"/>
          <w:color w:val="0000FF"/>
          <w:sz w:val="24"/>
          <w:szCs w:val="24"/>
          <w:vertAlign w:val="superscript"/>
          <w:rtl/>
        </w:rPr>
        <w:footnoteReference w:customMarkFollows="1" w:id="321"/>
        <w:t>321</w:t>
      </w:r>
      <w:r>
        <w:rPr>
          <w:rFonts w:ascii="David" w:hAnsi="David" w:cs="David"/>
          <w:color w:val="000000"/>
          <w:sz w:val="24"/>
          <w:szCs w:val="24"/>
          <w:rtl/>
        </w:rPr>
        <w:t>, הווייתם על ידי טהרה תהא</w:t>
      </w:r>
      <w:r>
        <w:rPr>
          <w:rFonts w:ascii="David" w:hAnsi="David" w:cs="David"/>
          <w:color w:val="0000FF"/>
          <w:sz w:val="24"/>
          <w:szCs w:val="24"/>
          <w:vertAlign w:val="superscript"/>
          <w:rtl/>
        </w:rPr>
        <w:footnoteReference w:customMarkFollows="1" w:id="322"/>
        <w:t>322</w:t>
      </w:r>
      <w:r>
        <w:rPr>
          <w:rFonts w:ascii="David" w:hAnsi="David" w:cs="David"/>
          <w:color w:val="000000"/>
          <w:sz w:val="24"/>
          <w:szCs w:val="24"/>
          <w:rtl/>
        </w:rPr>
        <w:t>, היינו, כשאתה מהווה את המים לקידוש מי חטאת, תהוה אותם על ידי דבר שאינו מקבל טומאה</w:t>
      </w:r>
      <w:r>
        <w:rPr>
          <w:rFonts w:ascii="David" w:hAnsi="David" w:cs="David"/>
          <w:color w:val="0000FF"/>
          <w:sz w:val="24"/>
          <w:szCs w:val="24"/>
          <w:vertAlign w:val="superscript"/>
          <w:rtl/>
        </w:rPr>
        <w:footnoteReference w:customMarkFollows="1" w:id="323"/>
        <w:t>323</w:t>
      </w:r>
      <w:r>
        <w:rPr>
          <w:rFonts w:ascii="David" w:hAnsi="David" w:cs="David"/>
          <w:color w:val="000000"/>
          <w:sz w:val="24"/>
          <w:szCs w:val="24"/>
          <w:rtl/>
        </w:rPr>
        <w:t>, ואף על פי שהכתוב לענין מקוה* נאמר</w:t>
      </w:r>
      <w:r>
        <w:rPr>
          <w:rFonts w:ascii="David" w:hAnsi="David" w:cs="David"/>
          <w:color w:val="0000FF"/>
          <w:sz w:val="24"/>
          <w:szCs w:val="24"/>
          <w:vertAlign w:val="superscript"/>
          <w:rtl/>
        </w:rPr>
        <w:footnoteReference w:customMarkFollows="1" w:id="324"/>
        <w:t>324</w:t>
      </w:r>
      <w:r>
        <w:rPr>
          <w:rFonts w:ascii="David" w:hAnsi="David" w:cs="David"/>
          <w:color w:val="000000"/>
          <w:sz w:val="24"/>
          <w:szCs w:val="24"/>
          <w:rtl/>
        </w:rPr>
        <w:t>, כתבו ראשונים שכל הווייות המים המטהרים במשמעו</w:t>
      </w:r>
      <w:r>
        <w:rPr>
          <w:rFonts w:ascii="David" w:hAnsi="David" w:cs="David"/>
          <w:color w:val="0000FF"/>
          <w:sz w:val="24"/>
          <w:szCs w:val="24"/>
          <w:vertAlign w:val="superscript"/>
          <w:rtl/>
        </w:rPr>
        <w:footnoteReference w:customMarkFollows="1" w:id="325"/>
        <w:t>325</w:t>
      </w:r>
      <w:r>
        <w:rPr>
          <w:rFonts w:ascii="David" w:hAnsi="David" w:cs="David"/>
          <w:color w:val="000000"/>
          <w:sz w:val="24"/>
          <w:szCs w:val="24"/>
          <w:rtl/>
        </w:rPr>
        <w:t>, ויש מן הראשונים שכתבו, שהכתוב נאמר לענין "מעין" הנזכר בו - ולא נאמר אלא לענין דינים שמעכב בהם "מעין", אבל מקוה כשר אף כשנעשה בידי אדם</w:t>
      </w:r>
      <w:r>
        <w:rPr>
          <w:rFonts w:ascii="David" w:hAnsi="David" w:cs="David"/>
          <w:color w:val="0000FF"/>
          <w:sz w:val="24"/>
          <w:szCs w:val="24"/>
          <w:vertAlign w:val="superscript"/>
          <w:rtl/>
        </w:rPr>
        <w:footnoteReference w:customMarkFollows="1" w:id="326"/>
        <w:t>326</w:t>
      </w:r>
      <w:r>
        <w:rPr>
          <w:rFonts w:ascii="David" w:hAnsi="David" w:cs="David"/>
          <w:color w:val="000000"/>
          <w:sz w:val="24"/>
          <w:szCs w:val="24"/>
          <w:rtl/>
        </w:rPr>
        <w:t xml:space="preserve"> - ומי חטאת צריך שיהיו מי מעיין</w:t>
      </w:r>
      <w:r>
        <w:rPr>
          <w:rFonts w:ascii="David" w:hAnsi="David" w:cs="David"/>
          <w:color w:val="0000FF"/>
          <w:sz w:val="24"/>
          <w:szCs w:val="24"/>
          <w:vertAlign w:val="superscript"/>
          <w:rtl/>
        </w:rPr>
        <w:footnoteReference w:customMarkFollows="1" w:id="327"/>
        <w:t>327</w:t>
      </w:r>
      <w:r>
        <w:rPr>
          <w:rFonts w:ascii="David" w:hAnsi="David" w:cs="David"/>
          <w:color w:val="000000"/>
          <w:sz w:val="24"/>
          <w:szCs w:val="24"/>
          <w:rtl/>
        </w:rPr>
        <w:t>. ודוקא כשבאו המים לכלי עצמו על ידי דבר המקבל טומאה פסולים, אבל אם הוליכם על ידי דבר המקבל טומאה, קודם שבאו לכלי, כשרים</w:t>
      </w:r>
      <w:r>
        <w:rPr>
          <w:rFonts w:ascii="David" w:hAnsi="David" w:cs="David"/>
          <w:color w:val="0000FF"/>
          <w:sz w:val="24"/>
          <w:szCs w:val="24"/>
          <w:vertAlign w:val="superscript"/>
          <w:rtl/>
        </w:rPr>
        <w:footnoteReference w:customMarkFollows="1" w:id="328"/>
        <w:t>328</w:t>
      </w:r>
      <w:r>
        <w:rPr>
          <w:rFonts w:ascii="David" w:hAnsi="David" w:cs="David"/>
          <w:color w:val="000000"/>
          <w:sz w:val="24"/>
          <w:szCs w:val="24"/>
          <w:rtl/>
        </w:rPr>
        <w:t xml:space="preserve"> </w:t>
      </w:r>
    </w:p>
    <w:p w14:paraId="484BE58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על כך שהם חשובים מים-חיים*, אף על פי שלא באו לכלי מהמעיין, ע"ע מים חיים - ומכל מקום אם באו לאויר* הכלי על ידי דבר המקבל טומאה, פסולים, שאויר כלי ככלי</w:t>
      </w:r>
      <w:r>
        <w:rPr>
          <w:rFonts w:ascii="David" w:hAnsi="David" w:cs="David"/>
          <w:color w:val="0000FF"/>
          <w:sz w:val="24"/>
          <w:szCs w:val="24"/>
          <w:vertAlign w:val="superscript"/>
          <w:rtl/>
        </w:rPr>
        <w:footnoteReference w:customMarkFollows="1" w:id="329"/>
        <w:t>329</w:t>
      </w:r>
      <w:r>
        <w:rPr>
          <w:rFonts w:ascii="David" w:hAnsi="David" w:cs="David"/>
          <w:color w:val="000000"/>
          <w:sz w:val="24"/>
          <w:szCs w:val="24"/>
          <w:rtl/>
        </w:rPr>
        <w:t>. על גדרי דין "הווייתם על ידי טהרה", ואם אף על ידי גרמא, כגון שהטיל למים דבר המקבל טומאה, ועל ידי זה עלו על גדותיהם, חשוב שאין הווייתם על ידי טהרה, והחשוב מקבל טומאה לענין זה, ע"ע מים חיים, וע' מעין וע' מקוה</w:t>
      </w:r>
      <w:r>
        <w:rPr>
          <w:rFonts w:ascii="David" w:hAnsi="David" w:cs="David"/>
          <w:color w:val="0000FF"/>
          <w:sz w:val="24"/>
          <w:szCs w:val="24"/>
          <w:vertAlign w:val="superscript"/>
          <w:rtl/>
        </w:rPr>
        <w:footnoteReference w:customMarkFollows="1" w:id="330"/>
        <w:t>330</w:t>
      </w:r>
      <w:r>
        <w:rPr>
          <w:rFonts w:ascii="David" w:hAnsi="David" w:cs="David"/>
          <w:color w:val="000000"/>
          <w:sz w:val="24"/>
          <w:szCs w:val="24"/>
          <w:rtl/>
        </w:rPr>
        <w:t>. ויש מן הראשונים שנראה מדבריהם, שהטעם שאם אין הווייתם על ידי טהרה פסולים, הוא משום שפסקה חיותם, וכל שהווייתם על ידי טהרה, הרי הוא כאפיק שהמים נמשכים בו, והרי הם בשעת הקבלה מים חיים כמו שהיו במעיין, וכשהווייתם על ידי דבר המקבל טומאה, פסקה חיותם, וכל שבשעה שפסקה חיותם עוד לא נתקבלו בכלי, פסולים</w:t>
      </w:r>
      <w:r>
        <w:rPr>
          <w:rFonts w:ascii="David" w:hAnsi="David" w:cs="David"/>
          <w:color w:val="0000FF"/>
          <w:sz w:val="24"/>
          <w:szCs w:val="24"/>
          <w:vertAlign w:val="superscript"/>
          <w:rtl/>
        </w:rPr>
        <w:footnoteReference w:customMarkFollows="1" w:id="331"/>
        <w:t>331</w:t>
      </w:r>
      <w:r>
        <w:rPr>
          <w:rFonts w:ascii="David" w:hAnsi="David" w:cs="David"/>
          <w:color w:val="000000"/>
          <w:sz w:val="24"/>
          <w:szCs w:val="24"/>
          <w:rtl/>
        </w:rPr>
        <w:t xml:space="preserve">. </w:t>
      </w:r>
    </w:p>
    <w:p w14:paraId="22B0F4E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[כוונת המילוי]</w:t>
      </w:r>
    </w:p>
    <w:p w14:paraId="79AF6C9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המילוי צריך שיעשה בכוונה לשם מי חטאת</w:t>
      </w:r>
      <w:r>
        <w:rPr>
          <w:rFonts w:ascii="David" w:hAnsi="David" w:cs="David"/>
          <w:color w:val="0000FF"/>
          <w:sz w:val="24"/>
          <w:szCs w:val="24"/>
          <w:vertAlign w:val="superscript"/>
          <w:rtl/>
        </w:rPr>
        <w:footnoteReference w:customMarkFollows="1" w:id="332"/>
        <w:t>332</w:t>
      </w:r>
      <w:r>
        <w:rPr>
          <w:rFonts w:ascii="David" w:hAnsi="David" w:cs="David"/>
          <w:color w:val="000000"/>
          <w:sz w:val="24"/>
          <w:szCs w:val="24"/>
          <w:rtl/>
        </w:rPr>
        <w:t xml:space="preserve"> - והיינו שמלבד פסול היסח הדעת הפוסל מהמילוי ואילך</w:t>
      </w:r>
      <w:r>
        <w:rPr>
          <w:rFonts w:ascii="David" w:hAnsi="David" w:cs="David"/>
          <w:color w:val="0000FF"/>
          <w:sz w:val="24"/>
          <w:szCs w:val="24"/>
          <w:vertAlign w:val="superscript"/>
          <w:rtl/>
        </w:rPr>
        <w:footnoteReference w:customMarkFollows="1" w:id="333"/>
        <w:t>333</w:t>
      </w:r>
      <w:r>
        <w:rPr>
          <w:rFonts w:ascii="David" w:hAnsi="David" w:cs="David"/>
          <w:color w:val="000000"/>
          <w:sz w:val="24"/>
          <w:szCs w:val="24"/>
          <w:rtl/>
        </w:rPr>
        <w:t>, מעיקר עבודת המילוי הוא, שיעשה המילוי לשמה*</w:t>
      </w:r>
      <w:r>
        <w:rPr>
          <w:rFonts w:ascii="David" w:hAnsi="David" w:cs="David"/>
          <w:color w:val="0000FF"/>
          <w:sz w:val="24"/>
          <w:szCs w:val="24"/>
          <w:vertAlign w:val="superscript"/>
          <w:rtl/>
        </w:rPr>
        <w:footnoteReference w:customMarkFollows="1" w:id="334"/>
        <w:t>334</w:t>
      </w:r>
      <w:r>
        <w:rPr>
          <w:rFonts w:ascii="David" w:hAnsi="David" w:cs="David"/>
          <w:color w:val="000000"/>
          <w:sz w:val="24"/>
          <w:szCs w:val="24"/>
          <w:rtl/>
        </w:rPr>
        <w:t xml:space="preserve"> - וכן שנינו בתוספתא: ולקחו לטמא</w:t>
      </w:r>
      <w:r>
        <w:rPr>
          <w:rFonts w:ascii="David" w:hAnsi="David" w:cs="David"/>
          <w:color w:val="0000FF"/>
          <w:sz w:val="24"/>
          <w:szCs w:val="24"/>
          <w:vertAlign w:val="superscript"/>
          <w:rtl/>
        </w:rPr>
        <w:footnoteReference w:customMarkFollows="1" w:id="335"/>
        <w:t>335</w:t>
      </w:r>
      <w:r>
        <w:rPr>
          <w:rFonts w:ascii="David" w:hAnsi="David" w:cs="David"/>
          <w:color w:val="000000"/>
          <w:sz w:val="24"/>
          <w:szCs w:val="24"/>
          <w:rtl/>
        </w:rPr>
        <w:t>, עד שיהא מתכוין למילוי לקידוש ולהזאה*</w:t>
      </w:r>
      <w:r>
        <w:rPr>
          <w:rFonts w:ascii="David" w:hAnsi="David" w:cs="David"/>
          <w:color w:val="0000FF"/>
          <w:sz w:val="24"/>
          <w:szCs w:val="24"/>
          <w:vertAlign w:val="superscript"/>
          <w:rtl/>
        </w:rPr>
        <w:footnoteReference w:customMarkFollows="1" w:id="336"/>
        <w:t>336</w:t>
      </w:r>
      <w:r>
        <w:rPr>
          <w:rFonts w:ascii="David" w:hAnsi="David" w:cs="David"/>
          <w:color w:val="000000"/>
          <w:sz w:val="24"/>
          <w:szCs w:val="24"/>
          <w:rtl/>
        </w:rPr>
        <w:t>, שהכתוב "ולקחו לטמא", לשם טהרת הטמא משמע</w:t>
      </w:r>
      <w:r>
        <w:rPr>
          <w:rFonts w:ascii="David" w:hAnsi="David" w:cs="David"/>
          <w:color w:val="0000FF"/>
          <w:sz w:val="24"/>
          <w:szCs w:val="24"/>
          <w:vertAlign w:val="superscript"/>
          <w:rtl/>
        </w:rPr>
        <w:footnoteReference w:customMarkFollows="1" w:id="337"/>
        <w:t>337</w:t>
      </w:r>
      <w:r>
        <w:rPr>
          <w:rFonts w:ascii="David" w:hAnsi="David" w:cs="David"/>
          <w:color w:val="000000"/>
          <w:sz w:val="24"/>
          <w:szCs w:val="24"/>
          <w:rtl/>
        </w:rPr>
        <w:t>, ויש מן הראשונים שכתבו, שדרשו מן הכתוב: ונתן עליו</w:t>
      </w:r>
      <w:r>
        <w:rPr>
          <w:rFonts w:ascii="David" w:hAnsi="David" w:cs="David"/>
          <w:color w:val="0000FF"/>
          <w:sz w:val="24"/>
          <w:szCs w:val="24"/>
          <w:vertAlign w:val="superscript"/>
          <w:rtl/>
        </w:rPr>
        <w:footnoteReference w:customMarkFollows="1" w:id="338"/>
        <w:t>338</w:t>
      </w:r>
      <w:r>
        <w:rPr>
          <w:rFonts w:ascii="David" w:hAnsi="David" w:cs="David"/>
          <w:color w:val="000000"/>
          <w:sz w:val="24"/>
          <w:szCs w:val="24"/>
          <w:rtl/>
        </w:rPr>
        <w:t>, שלדעתם משמעו ונתן בעבורו - שהרי נותן המים קודם נתינת האפר</w:t>
      </w:r>
      <w:r>
        <w:rPr>
          <w:rFonts w:ascii="David" w:hAnsi="David" w:cs="David"/>
          <w:color w:val="0000FF"/>
          <w:sz w:val="24"/>
          <w:szCs w:val="24"/>
          <w:vertAlign w:val="superscript"/>
          <w:rtl/>
        </w:rPr>
        <w:footnoteReference w:customMarkFollows="1" w:id="339"/>
        <w:t>339</w:t>
      </w:r>
      <w:r>
        <w:rPr>
          <w:rFonts w:ascii="David" w:hAnsi="David" w:cs="David"/>
          <w:color w:val="000000"/>
          <w:sz w:val="24"/>
          <w:szCs w:val="24"/>
          <w:rtl/>
        </w:rPr>
        <w:t>, על כך שיש מפרשים הכתוב בענין אחר, עי' להלן: הקידוש</w:t>
      </w:r>
      <w:r>
        <w:rPr>
          <w:rFonts w:ascii="David" w:hAnsi="David" w:cs="David"/>
          <w:color w:val="0000FF"/>
          <w:sz w:val="24"/>
          <w:szCs w:val="24"/>
          <w:vertAlign w:val="superscript"/>
          <w:rtl/>
        </w:rPr>
        <w:footnoteReference w:customMarkFollows="1" w:id="340"/>
        <w:t>340</w:t>
      </w:r>
      <w:r>
        <w:rPr>
          <w:rFonts w:ascii="David" w:hAnsi="David" w:cs="David"/>
          <w:color w:val="000000"/>
          <w:sz w:val="24"/>
          <w:szCs w:val="24"/>
          <w:rtl/>
        </w:rPr>
        <w:t xml:space="preserve"> - דהיינו, בעבור עפר שריפת החטאת המוזכר בכתוב</w:t>
      </w:r>
      <w:r>
        <w:rPr>
          <w:rFonts w:ascii="David" w:hAnsi="David" w:cs="David"/>
          <w:color w:val="0000FF"/>
          <w:sz w:val="24"/>
          <w:szCs w:val="24"/>
          <w:vertAlign w:val="superscript"/>
          <w:rtl/>
        </w:rPr>
        <w:footnoteReference w:customMarkFollows="1" w:id="341"/>
        <w:t>341</w:t>
      </w:r>
      <w:r>
        <w:rPr>
          <w:rFonts w:ascii="David" w:hAnsi="David" w:cs="David"/>
          <w:color w:val="000000"/>
          <w:sz w:val="24"/>
          <w:szCs w:val="24"/>
          <w:rtl/>
        </w:rPr>
        <w:t>, שצריך שינתנו המים בכלי לתכלית נתינת אפר-חטאת* עליהם</w:t>
      </w:r>
      <w:r>
        <w:rPr>
          <w:rFonts w:ascii="David" w:hAnsi="David" w:cs="David"/>
          <w:color w:val="0000FF"/>
          <w:sz w:val="24"/>
          <w:szCs w:val="24"/>
          <w:vertAlign w:val="superscript"/>
          <w:rtl/>
        </w:rPr>
        <w:footnoteReference w:customMarkFollows="1" w:id="342"/>
        <w:t>342</w:t>
      </w:r>
      <w:r>
        <w:rPr>
          <w:rFonts w:ascii="David" w:hAnsi="David" w:cs="David"/>
          <w:color w:val="000000"/>
          <w:sz w:val="24"/>
          <w:szCs w:val="24"/>
          <w:rtl/>
        </w:rPr>
        <w:t>. על הסוברים שמדרשה אחרת דרשו שיהא המילוי לשמה, עי' להלן: שם</w:t>
      </w:r>
      <w:r>
        <w:rPr>
          <w:rFonts w:ascii="David" w:hAnsi="David" w:cs="David"/>
          <w:color w:val="0000FF"/>
          <w:sz w:val="24"/>
          <w:szCs w:val="24"/>
          <w:vertAlign w:val="superscript"/>
          <w:rtl/>
        </w:rPr>
        <w:footnoteReference w:customMarkFollows="1" w:id="343"/>
        <w:t>343</w:t>
      </w:r>
      <w:r>
        <w:rPr>
          <w:rFonts w:ascii="David" w:hAnsi="David" w:cs="David"/>
          <w:color w:val="000000"/>
          <w:sz w:val="24"/>
          <w:szCs w:val="24"/>
          <w:rtl/>
        </w:rPr>
        <w:t>. ואף לסוברים שאין צריך כח האדם במילוי, ואם נתמלא הכלי מאליו כשר</w:t>
      </w:r>
      <w:r>
        <w:rPr>
          <w:rFonts w:ascii="David" w:hAnsi="David" w:cs="David"/>
          <w:color w:val="0000FF"/>
          <w:sz w:val="24"/>
          <w:szCs w:val="24"/>
          <w:vertAlign w:val="superscript"/>
          <w:rtl/>
        </w:rPr>
        <w:footnoteReference w:customMarkFollows="1" w:id="344"/>
        <w:t>344</w:t>
      </w:r>
      <w:r>
        <w:rPr>
          <w:rFonts w:ascii="David" w:hAnsi="David" w:cs="David"/>
          <w:color w:val="000000"/>
          <w:sz w:val="24"/>
          <w:szCs w:val="24"/>
          <w:rtl/>
        </w:rPr>
        <w:t>, כתבו אחרונים שמכל מקום צריך שיתן אדם דעתו שיתמלא לשם מי חטאת</w:t>
      </w:r>
      <w:r>
        <w:rPr>
          <w:rFonts w:ascii="David" w:hAnsi="David" w:cs="David"/>
          <w:color w:val="0000FF"/>
          <w:sz w:val="24"/>
          <w:szCs w:val="24"/>
          <w:vertAlign w:val="superscript"/>
          <w:rtl/>
        </w:rPr>
        <w:footnoteReference w:customMarkFollows="1" w:id="345"/>
        <w:t>345</w:t>
      </w:r>
      <w:r>
        <w:rPr>
          <w:rFonts w:ascii="David" w:hAnsi="David" w:cs="David"/>
          <w:color w:val="000000"/>
          <w:sz w:val="24"/>
          <w:szCs w:val="24"/>
          <w:rtl/>
        </w:rPr>
        <w:t>, ויש שנראה מדבריהם, שאף לסוברים שמילוי מאליו כשר, צריך שיהא מעורב בו מעשה האדם לשם מי חטאת</w:t>
      </w:r>
      <w:r>
        <w:rPr>
          <w:rFonts w:ascii="David" w:hAnsi="David" w:cs="David"/>
          <w:color w:val="0000FF"/>
          <w:sz w:val="24"/>
          <w:szCs w:val="24"/>
          <w:vertAlign w:val="superscript"/>
          <w:rtl/>
        </w:rPr>
        <w:footnoteReference w:customMarkFollows="1" w:id="346"/>
        <w:t>346</w:t>
      </w:r>
      <w:r>
        <w:rPr>
          <w:rFonts w:ascii="David" w:hAnsi="David" w:cs="David"/>
          <w:color w:val="000000"/>
          <w:sz w:val="24"/>
          <w:szCs w:val="24"/>
          <w:rtl/>
        </w:rPr>
        <w:t>, וכתבו, שאותה ששנינו בתוספתא שהיה המילוי נעשה על ידי השוורים ששחו לשתות ונתמלאו הכוסות שבקרניהם</w:t>
      </w:r>
      <w:r>
        <w:rPr>
          <w:rFonts w:ascii="David" w:hAnsi="David" w:cs="David"/>
          <w:color w:val="0000FF"/>
          <w:sz w:val="24"/>
          <w:szCs w:val="24"/>
          <w:vertAlign w:val="superscript"/>
          <w:rtl/>
        </w:rPr>
        <w:footnoteReference w:customMarkFollows="1" w:id="347"/>
        <w:t>347</w:t>
      </w:r>
      <w:r>
        <w:rPr>
          <w:rFonts w:ascii="David" w:hAnsi="David" w:cs="David"/>
          <w:color w:val="000000"/>
          <w:sz w:val="24"/>
          <w:szCs w:val="24"/>
          <w:rtl/>
        </w:rPr>
        <w:t xml:space="preserve">, לא </w:t>
      </w:r>
    </w:p>
    <w:p w14:paraId="59E5218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הוכשר מילוי זה אלא מפני שהבעלים הוליכום למעיין לשם מילוי מי חטאת, והרי זה חשוב ככוונה לשם מי חטאת</w:t>
      </w:r>
      <w:r>
        <w:rPr>
          <w:rFonts w:ascii="David" w:hAnsi="David" w:cs="David"/>
          <w:color w:val="0000FF"/>
          <w:sz w:val="24"/>
          <w:szCs w:val="24"/>
          <w:vertAlign w:val="superscript"/>
          <w:rtl/>
        </w:rPr>
        <w:footnoteReference w:customMarkFollows="1" w:id="348"/>
        <w:t>348</w:t>
      </w:r>
      <w:r>
        <w:rPr>
          <w:rFonts w:ascii="David" w:hAnsi="David" w:cs="David"/>
          <w:color w:val="000000"/>
          <w:sz w:val="24"/>
          <w:szCs w:val="24"/>
          <w:rtl/>
        </w:rPr>
        <w:t xml:space="preserve">. </w:t>
      </w:r>
    </w:p>
    <w:p w14:paraId="46437DD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[אופנים שאינו לשמה]</w:t>
      </w:r>
    </w:p>
    <w:p w14:paraId="263EDC5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הממלא כלי לשם מי חטאת, ונמלך עליו לשתיה קודם שהגיעו המים לכלי, יש מן הראשונים שכתבו שעל זה שנינו בתוספתא, שהוא צריך לערות ולחזור ולמלאות לשמה</w:t>
      </w:r>
      <w:r>
        <w:rPr>
          <w:rFonts w:ascii="David" w:hAnsi="David" w:cs="David"/>
          <w:color w:val="0000FF"/>
          <w:sz w:val="24"/>
          <w:szCs w:val="24"/>
          <w:vertAlign w:val="superscript"/>
          <w:rtl/>
        </w:rPr>
        <w:footnoteReference w:customMarkFollows="1" w:id="349"/>
        <w:t>349</w:t>
      </w:r>
      <w:r>
        <w:rPr>
          <w:rFonts w:ascii="David" w:hAnsi="David" w:cs="David"/>
          <w:color w:val="000000"/>
          <w:sz w:val="24"/>
          <w:szCs w:val="24"/>
          <w:rtl/>
        </w:rPr>
        <w:t>, מפני שלא נתמלא לשם מי חטאת</w:t>
      </w:r>
      <w:r>
        <w:rPr>
          <w:rFonts w:ascii="David" w:hAnsi="David" w:cs="David"/>
          <w:color w:val="0000FF"/>
          <w:sz w:val="24"/>
          <w:szCs w:val="24"/>
          <w:vertAlign w:val="superscript"/>
          <w:rtl/>
        </w:rPr>
        <w:footnoteReference w:customMarkFollows="1" w:id="350"/>
        <w:t>350</w:t>
      </w:r>
      <w:r>
        <w:rPr>
          <w:rFonts w:ascii="David" w:hAnsi="David" w:cs="David"/>
          <w:color w:val="000000"/>
          <w:sz w:val="24"/>
          <w:szCs w:val="24"/>
          <w:rtl/>
        </w:rPr>
        <w:t>. ואף פסול העוסק במלאכה אחרת בשעת המילוי</w:t>
      </w:r>
      <w:r>
        <w:rPr>
          <w:rFonts w:ascii="David" w:hAnsi="David" w:cs="David"/>
          <w:color w:val="0000FF"/>
          <w:sz w:val="24"/>
          <w:szCs w:val="24"/>
          <w:vertAlign w:val="superscript"/>
          <w:rtl/>
        </w:rPr>
        <w:footnoteReference w:customMarkFollows="1" w:id="351"/>
        <w:t>351</w:t>
      </w:r>
      <w:r>
        <w:rPr>
          <w:rFonts w:ascii="David" w:hAnsi="David" w:cs="David"/>
          <w:color w:val="000000"/>
          <w:sz w:val="24"/>
          <w:szCs w:val="24"/>
          <w:rtl/>
        </w:rPr>
        <w:t>, יש מן הראשונים שכתב שטעמו הוא משום חסרון כוונת לשמה, שאי אפשר שיכוין לבו לשתי מלאכות מתחלפות</w:t>
      </w:r>
      <w:r>
        <w:rPr>
          <w:rFonts w:ascii="David" w:hAnsi="David" w:cs="David"/>
          <w:color w:val="0000FF"/>
          <w:sz w:val="24"/>
          <w:szCs w:val="24"/>
          <w:vertAlign w:val="superscript"/>
          <w:rtl/>
        </w:rPr>
        <w:footnoteReference w:customMarkFollows="1" w:id="352"/>
        <w:t>352</w:t>
      </w:r>
      <w:r>
        <w:rPr>
          <w:rFonts w:ascii="David" w:hAnsi="David" w:cs="David"/>
          <w:color w:val="000000"/>
          <w:sz w:val="24"/>
          <w:szCs w:val="24"/>
          <w:rtl/>
        </w:rPr>
        <w:t>. על הסוברים שפסול מלאכה מטעמים אחרים הוא, עי' לעיל: המים</w:t>
      </w:r>
      <w:r>
        <w:rPr>
          <w:rFonts w:ascii="David" w:hAnsi="David" w:cs="David"/>
          <w:color w:val="0000FF"/>
          <w:sz w:val="24"/>
          <w:szCs w:val="24"/>
          <w:vertAlign w:val="superscript"/>
          <w:rtl/>
        </w:rPr>
        <w:footnoteReference w:customMarkFollows="1" w:id="353"/>
        <w:t>353</w:t>
      </w:r>
      <w:r>
        <w:rPr>
          <w:rFonts w:ascii="David" w:hAnsi="David" w:cs="David"/>
          <w:color w:val="000000"/>
          <w:sz w:val="24"/>
          <w:szCs w:val="24"/>
          <w:rtl/>
        </w:rPr>
        <w:t>. ויש מן האחרונים שכתבו בדעת ראשונים, שאף הממלא על דעת שחבירו יעשה בשבילו מלאכה תמורת המילוי, אינו חשוב מילוי לשמה, שאין כאן דעת שלמה לשם מי חטאת, שמשותף בכוונתו שהוא עושה כדי שחבירו יתחייב לעשות מלאכתו</w:t>
      </w:r>
      <w:r>
        <w:rPr>
          <w:rFonts w:ascii="David" w:hAnsi="David" w:cs="David"/>
          <w:color w:val="0000FF"/>
          <w:sz w:val="24"/>
          <w:szCs w:val="24"/>
          <w:vertAlign w:val="superscript"/>
          <w:rtl/>
        </w:rPr>
        <w:footnoteReference w:customMarkFollows="1" w:id="354"/>
        <w:t>354</w:t>
      </w:r>
      <w:r>
        <w:rPr>
          <w:rFonts w:ascii="David" w:hAnsi="David" w:cs="David"/>
          <w:color w:val="000000"/>
          <w:sz w:val="24"/>
          <w:szCs w:val="24"/>
          <w:rtl/>
        </w:rPr>
        <w:t>. על הסוברים שהטעם שחרש-שוטה-וקטן* פסולים למילוי, לסוברים כן</w:t>
      </w:r>
      <w:r>
        <w:rPr>
          <w:rFonts w:ascii="David" w:hAnsi="David" w:cs="David"/>
          <w:color w:val="0000FF"/>
          <w:sz w:val="24"/>
          <w:szCs w:val="24"/>
          <w:vertAlign w:val="superscript"/>
          <w:rtl/>
        </w:rPr>
        <w:footnoteReference w:customMarkFollows="1" w:id="355"/>
        <w:t>355</w:t>
      </w:r>
      <w:r>
        <w:rPr>
          <w:rFonts w:ascii="David" w:hAnsi="David" w:cs="David"/>
          <w:color w:val="000000"/>
          <w:sz w:val="24"/>
          <w:szCs w:val="24"/>
          <w:rtl/>
        </w:rPr>
        <w:t>, הוא מפני שאינם בני כוונה, עי' לעיל</w:t>
      </w:r>
      <w:r>
        <w:rPr>
          <w:rFonts w:ascii="David" w:hAnsi="David" w:cs="David"/>
          <w:color w:val="0000FF"/>
          <w:sz w:val="24"/>
          <w:szCs w:val="24"/>
          <w:vertAlign w:val="superscript"/>
          <w:rtl/>
        </w:rPr>
        <w:footnoteReference w:customMarkFollows="1" w:id="356"/>
        <w:t>356</w:t>
      </w:r>
      <w:r>
        <w:rPr>
          <w:rFonts w:ascii="David" w:hAnsi="David" w:cs="David"/>
          <w:color w:val="000000"/>
          <w:sz w:val="24"/>
          <w:szCs w:val="24"/>
          <w:rtl/>
        </w:rPr>
        <w:t xml:space="preserve">. </w:t>
      </w:r>
    </w:p>
    <w:p w14:paraId="5497195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[כוונה קודם המילוי]</w:t>
      </w:r>
    </w:p>
    <w:p w14:paraId="43B5145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המחשבה במלוי המים לשם מי חטאת, אינה צריכה שתהא דוקא בשעת המלוי, אלא כיון שחשב בתחילה שהוא הולך למלא לצורך מי חטאת, חשוב שהמלוי נעשה לשמה</w:t>
      </w:r>
      <w:r>
        <w:rPr>
          <w:rFonts w:ascii="David" w:hAnsi="David" w:cs="David"/>
          <w:color w:val="0000FF"/>
          <w:sz w:val="24"/>
          <w:szCs w:val="24"/>
          <w:vertAlign w:val="superscript"/>
          <w:rtl/>
        </w:rPr>
        <w:footnoteReference w:customMarkFollows="1" w:id="357"/>
        <w:t>357</w:t>
      </w:r>
      <w:r>
        <w:rPr>
          <w:rFonts w:ascii="David" w:hAnsi="David" w:cs="David"/>
          <w:color w:val="000000"/>
          <w:sz w:val="24"/>
          <w:szCs w:val="24"/>
          <w:rtl/>
        </w:rPr>
        <w:t>, אבל אם מילא מתחילה מים לשתיה, וחזר אחר כך ובא למלאות מים אחרים לצורך מי חטאת, יש ראשונים שכתבו בדעת תנאים, שאם לא חשב לשם חטאת כשהיה סמוך למים, חוששים שבשעת המילוי הסיח דעתו, וצריך לערות את המים</w:t>
      </w:r>
      <w:r>
        <w:rPr>
          <w:rFonts w:ascii="David" w:hAnsi="David" w:cs="David"/>
          <w:color w:val="0000FF"/>
          <w:sz w:val="24"/>
          <w:szCs w:val="24"/>
          <w:vertAlign w:val="superscript"/>
          <w:rtl/>
        </w:rPr>
        <w:footnoteReference w:customMarkFollows="1" w:id="358"/>
        <w:t>358</w:t>
      </w:r>
      <w:r>
        <w:rPr>
          <w:rFonts w:ascii="David" w:hAnsi="David" w:cs="David"/>
          <w:color w:val="000000"/>
          <w:sz w:val="24"/>
          <w:szCs w:val="24"/>
          <w:rtl/>
        </w:rPr>
        <w:t>, שמשום חומרא של חטאת, אמרו שאחר שבמים הראשונים חשב לשתיה, צריך בשניים מחשבה בשעת מילוי דוקא</w:t>
      </w:r>
      <w:r>
        <w:rPr>
          <w:rFonts w:ascii="David" w:hAnsi="David" w:cs="David"/>
          <w:color w:val="0000FF"/>
          <w:sz w:val="24"/>
          <w:szCs w:val="24"/>
          <w:vertAlign w:val="superscript"/>
          <w:rtl/>
        </w:rPr>
        <w:footnoteReference w:customMarkFollows="1" w:id="359"/>
        <w:t>359</w:t>
      </w:r>
      <w:r>
        <w:rPr>
          <w:rFonts w:ascii="David" w:hAnsi="David" w:cs="David"/>
          <w:color w:val="000000"/>
          <w:sz w:val="24"/>
          <w:szCs w:val="24"/>
          <w:rtl/>
        </w:rPr>
        <w:t>, ודוקא כשבראשונים לא חשב אלא לשתיה, אבל אם מתחילה חשב למלאות לחטאת אחר שתייתו, מועילה אף מחשבה שאינה בסמוך למילוי המים</w:t>
      </w:r>
      <w:r>
        <w:rPr>
          <w:rFonts w:ascii="David" w:hAnsi="David" w:cs="David"/>
          <w:color w:val="0000FF"/>
          <w:sz w:val="24"/>
          <w:szCs w:val="24"/>
          <w:vertAlign w:val="superscript"/>
          <w:rtl/>
        </w:rPr>
        <w:footnoteReference w:customMarkFollows="1" w:id="360"/>
        <w:t>360</w:t>
      </w:r>
      <w:r>
        <w:rPr>
          <w:rFonts w:ascii="David" w:hAnsi="David" w:cs="David"/>
          <w:color w:val="000000"/>
          <w:sz w:val="24"/>
          <w:szCs w:val="24"/>
          <w:rtl/>
        </w:rPr>
        <w:t>, וצידדו אחרונים לומר, שאין זה אלא כשבא למלאות לחטאת קודם שתייתו, אבל אם הוא ממלא אחר ששתה, מועילה מחשבתו למילוי אף שאינה בסמוך למים</w:t>
      </w:r>
      <w:r>
        <w:rPr>
          <w:rFonts w:ascii="David" w:hAnsi="David" w:cs="David"/>
          <w:color w:val="0000FF"/>
          <w:sz w:val="24"/>
          <w:szCs w:val="24"/>
          <w:vertAlign w:val="superscript"/>
          <w:rtl/>
        </w:rPr>
        <w:footnoteReference w:customMarkFollows="1" w:id="361"/>
        <w:t>361</w:t>
      </w:r>
      <w:r>
        <w:rPr>
          <w:rFonts w:ascii="David" w:hAnsi="David" w:cs="David"/>
          <w:color w:val="000000"/>
          <w:sz w:val="24"/>
          <w:szCs w:val="24"/>
          <w:rtl/>
        </w:rPr>
        <w:t>, ולדעה זו, יש שכתבו שאם לא הושלם מילויו הראשון, כגון שנפסק החבל, נחלקו תנאים אם כיון שבפועל לא מילא לשתיה, מועילה מחשבתו למלאות את השניים לחטאת, אף כשאינה בסמוך למים</w:t>
      </w:r>
      <w:r>
        <w:rPr>
          <w:rFonts w:ascii="David" w:hAnsi="David" w:cs="David"/>
          <w:color w:val="0000FF"/>
          <w:sz w:val="24"/>
          <w:szCs w:val="24"/>
          <w:vertAlign w:val="superscript"/>
          <w:rtl/>
        </w:rPr>
        <w:footnoteReference w:customMarkFollows="1" w:id="362"/>
        <w:t>362</w:t>
      </w:r>
      <w:r>
        <w:rPr>
          <w:rFonts w:ascii="David" w:hAnsi="David" w:cs="David"/>
          <w:color w:val="000000"/>
          <w:sz w:val="24"/>
          <w:szCs w:val="24"/>
          <w:rtl/>
        </w:rPr>
        <w:t xml:space="preserve">. </w:t>
      </w:r>
    </w:p>
    <w:p w14:paraId="14DA751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[כוונה בשאר פעולות המילוי]</w:t>
      </w:r>
    </w:p>
    <w:p w14:paraId="1BCA0C1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הכוונה לשמה במילוי, צריך שתהא בשעת </w:t>
      </w:r>
    </w:p>
    <w:p w14:paraId="313F361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מעשה המילוי עצמו - על מהותו של מעשה המילוי, עי' לעיל</w:t>
      </w:r>
      <w:r>
        <w:rPr>
          <w:rFonts w:ascii="David" w:hAnsi="David" w:cs="David"/>
          <w:color w:val="0000FF"/>
          <w:sz w:val="24"/>
          <w:szCs w:val="24"/>
          <w:vertAlign w:val="superscript"/>
          <w:rtl/>
        </w:rPr>
        <w:footnoteReference w:customMarkFollows="1" w:id="363"/>
        <w:t>363</w:t>
      </w:r>
      <w:r>
        <w:rPr>
          <w:rFonts w:ascii="David" w:hAnsi="David" w:cs="David"/>
          <w:color w:val="000000"/>
          <w:sz w:val="24"/>
          <w:szCs w:val="24"/>
          <w:rtl/>
        </w:rPr>
        <w:t xml:space="preserve"> - ולא בשעה שהוא עוסק בשאר פעולות המילוי</w:t>
      </w:r>
      <w:r>
        <w:rPr>
          <w:rFonts w:ascii="David" w:hAnsi="David" w:cs="David"/>
          <w:color w:val="0000FF"/>
          <w:sz w:val="24"/>
          <w:szCs w:val="24"/>
          <w:vertAlign w:val="superscript"/>
          <w:rtl/>
        </w:rPr>
        <w:footnoteReference w:customMarkFollows="1" w:id="364"/>
        <w:t>364</w:t>
      </w:r>
      <w:r>
        <w:rPr>
          <w:rFonts w:ascii="David" w:hAnsi="David" w:cs="David"/>
          <w:color w:val="000000"/>
          <w:sz w:val="24"/>
          <w:szCs w:val="24"/>
          <w:rtl/>
        </w:rPr>
        <w:t xml:space="preserve"> - כגון העלאת הכלי מן המעיין, לסוברים שביאת המים לכלי היא מעשה המילוי</w:t>
      </w:r>
      <w:r>
        <w:rPr>
          <w:rFonts w:ascii="David" w:hAnsi="David" w:cs="David"/>
          <w:color w:val="0000FF"/>
          <w:sz w:val="24"/>
          <w:szCs w:val="24"/>
          <w:vertAlign w:val="superscript"/>
          <w:rtl/>
        </w:rPr>
        <w:footnoteReference w:customMarkFollows="1" w:id="365"/>
        <w:t>365</w:t>
      </w:r>
      <w:r>
        <w:rPr>
          <w:rFonts w:ascii="David" w:hAnsi="David" w:cs="David"/>
          <w:color w:val="000000"/>
          <w:sz w:val="24"/>
          <w:szCs w:val="24"/>
          <w:rtl/>
        </w:rPr>
        <w:t xml:space="preserve"> - שהכוונה לשמה מדיני עבודת המילוי היא</w:t>
      </w:r>
      <w:r>
        <w:rPr>
          <w:rFonts w:ascii="David" w:hAnsi="David" w:cs="David"/>
          <w:color w:val="0000FF"/>
          <w:sz w:val="24"/>
          <w:szCs w:val="24"/>
          <w:vertAlign w:val="superscript"/>
          <w:rtl/>
        </w:rPr>
        <w:footnoteReference w:customMarkFollows="1" w:id="366"/>
        <w:t>366</w:t>
      </w:r>
      <w:r>
        <w:rPr>
          <w:rFonts w:ascii="David" w:hAnsi="David" w:cs="David"/>
          <w:color w:val="000000"/>
          <w:sz w:val="24"/>
          <w:szCs w:val="24"/>
          <w:rtl/>
        </w:rPr>
        <w:t>. ולסוברים שפסול העוסק במלאכה אחרת עם המים טעמו משום חסרון כוונה</w:t>
      </w:r>
      <w:r>
        <w:rPr>
          <w:rFonts w:ascii="David" w:hAnsi="David" w:cs="David"/>
          <w:color w:val="0000FF"/>
          <w:sz w:val="24"/>
          <w:szCs w:val="24"/>
          <w:vertAlign w:val="superscript"/>
          <w:rtl/>
        </w:rPr>
        <w:footnoteReference w:customMarkFollows="1" w:id="367"/>
        <w:t>367</w:t>
      </w:r>
      <w:r>
        <w:rPr>
          <w:rFonts w:ascii="David" w:hAnsi="David" w:cs="David"/>
          <w:color w:val="000000"/>
          <w:sz w:val="24"/>
          <w:szCs w:val="24"/>
          <w:rtl/>
        </w:rPr>
        <w:t>, הטעם שמלאכה פוסלת אף אחר מעשה המילוי, עד שעת נתינת האפר על המים</w:t>
      </w:r>
      <w:r>
        <w:rPr>
          <w:rFonts w:ascii="David" w:hAnsi="David" w:cs="David"/>
          <w:color w:val="0000FF"/>
          <w:sz w:val="24"/>
          <w:szCs w:val="24"/>
          <w:vertAlign w:val="superscript"/>
          <w:rtl/>
        </w:rPr>
        <w:footnoteReference w:customMarkFollows="1" w:id="368"/>
        <w:t>368</w:t>
      </w:r>
      <w:r>
        <w:rPr>
          <w:rFonts w:ascii="David" w:hAnsi="David" w:cs="David"/>
          <w:color w:val="000000"/>
          <w:sz w:val="24"/>
          <w:szCs w:val="24"/>
          <w:rtl/>
        </w:rPr>
        <w:t>, הוא משום שאם יעסוק במלאכה אחרת, לא יתאמת שנתן את המים אל הכלי לשם נתינת האפר, שהרי הוא מניח את המים ועוסק בדבר אחר</w:t>
      </w:r>
      <w:r>
        <w:rPr>
          <w:rFonts w:ascii="David" w:hAnsi="David" w:cs="David"/>
          <w:color w:val="0000FF"/>
          <w:sz w:val="24"/>
          <w:szCs w:val="24"/>
          <w:vertAlign w:val="superscript"/>
          <w:rtl/>
        </w:rPr>
        <w:footnoteReference w:customMarkFollows="1" w:id="369"/>
        <w:t>369</w:t>
      </w:r>
      <w:r>
        <w:rPr>
          <w:rFonts w:ascii="David" w:hAnsi="David" w:cs="David"/>
          <w:color w:val="000000"/>
          <w:sz w:val="24"/>
          <w:szCs w:val="24"/>
          <w:rtl/>
        </w:rPr>
        <w:t xml:space="preserve">. </w:t>
      </w:r>
    </w:p>
    <w:p w14:paraId="610BA2E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[בממלא מכלי לכלי]</w:t>
      </w:r>
    </w:p>
    <w:p w14:paraId="1674F30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המערה מכלי שמילא בו לכלי אחר, ומקדש בכלי האחרון - לסוברים שאין צריך שיהא המילוי מן המעיין בכלי שמקדש בו</w:t>
      </w:r>
      <w:r>
        <w:rPr>
          <w:rFonts w:ascii="David" w:hAnsi="David" w:cs="David"/>
          <w:color w:val="0000FF"/>
          <w:sz w:val="24"/>
          <w:szCs w:val="24"/>
          <w:vertAlign w:val="superscript"/>
          <w:rtl/>
        </w:rPr>
        <w:footnoteReference w:customMarkFollows="1" w:id="370"/>
        <w:t>370</w:t>
      </w:r>
      <w:r>
        <w:rPr>
          <w:rFonts w:ascii="David" w:hAnsi="David" w:cs="David"/>
          <w:color w:val="000000"/>
          <w:sz w:val="24"/>
          <w:szCs w:val="24"/>
          <w:rtl/>
        </w:rPr>
        <w:t xml:space="preserve"> - כתבו ראשונים שצריך שיעשה את העירוי לכלי שמקדש בו, בכוונה לשמה</w:t>
      </w:r>
      <w:r>
        <w:rPr>
          <w:rFonts w:ascii="David" w:hAnsi="David" w:cs="David"/>
          <w:color w:val="0000FF"/>
          <w:sz w:val="24"/>
          <w:szCs w:val="24"/>
          <w:vertAlign w:val="superscript"/>
          <w:rtl/>
        </w:rPr>
        <w:footnoteReference w:customMarkFollows="1" w:id="371"/>
        <w:t>371</w:t>
      </w:r>
      <w:r>
        <w:rPr>
          <w:rFonts w:ascii="David" w:hAnsi="David" w:cs="David"/>
          <w:color w:val="000000"/>
          <w:sz w:val="24"/>
          <w:szCs w:val="24"/>
          <w:rtl/>
        </w:rPr>
        <w:t>, שאי אפשר שתחייב התורה שיהא המילוי הראשון נעשה בכוונה לשמה, ולא תחייב כוונה לשמה במילוי לכלי שבו ינתן האפר, שהוא השורש והעיקר בטהרה זו</w:t>
      </w:r>
      <w:r>
        <w:rPr>
          <w:rFonts w:ascii="David" w:hAnsi="David" w:cs="David"/>
          <w:color w:val="0000FF"/>
          <w:sz w:val="24"/>
          <w:szCs w:val="24"/>
          <w:vertAlign w:val="superscript"/>
          <w:rtl/>
        </w:rPr>
        <w:footnoteReference w:customMarkFollows="1" w:id="372"/>
        <w:t>372</w:t>
      </w:r>
      <w:r>
        <w:rPr>
          <w:rFonts w:ascii="David" w:hAnsi="David" w:cs="David"/>
          <w:color w:val="000000"/>
          <w:sz w:val="24"/>
          <w:szCs w:val="24"/>
          <w:rtl/>
        </w:rPr>
        <w:t xml:space="preserve">. </w:t>
      </w:r>
    </w:p>
    <w:p w14:paraId="1F9CF49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[נמלך]</w:t>
      </w:r>
    </w:p>
    <w:p w14:paraId="6361226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הממלא כלי לשתות, ונמלך וחישב עליו לשם מי חטאת קודם שהגיע הכלי למים, יש מן הראשונים שכתבו שצריך לערות את המים מן הכלי ולחזור ולמלאות לשם מי חטאת</w:t>
      </w:r>
      <w:r>
        <w:rPr>
          <w:rFonts w:ascii="David" w:hAnsi="David" w:cs="David"/>
          <w:color w:val="0000FF"/>
          <w:sz w:val="24"/>
          <w:szCs w:val="24"/>
          <w:vertAlign w:val="superscript"/>
          <w:rtl/>
        </w:rPr>
        <w:footnoteReference w:customMarkFollows="1" w:id="373"/>
        <w:t>373</w:t>
      </w:r>
      <w:r>
        <w:rPr>
          <w:rFonts w:ascii="David" w:hAnsi="David" w:cs="David"/>
          <w:color w:val="000000"/>
          <w:sz w:val="24"/>
          <w:szCs w:val="24"/>
          <w:rtl/>
        </w:rPr>
        <w:t>, וכתבו אחרונים שאף על פי שמן הדין כשרים הם, לפי שחישב עליהם לשמה קודם שהגיע הכלי למים, ונמצא שעיקר השאיבה נעשית בהכשר, חומרא היא שהצריכו אותו לערות, הואיל וההושטה במחשבת שתיה נעשתה, והרי זה דומה לממלא כדי לשתות</w:t>
      </w:r>
      <w:r>
        <w:rPr>
          <w:rFonts w:ascii="David" w:hAnsi="David" w:cs="David"/>
          <w:color w:val="0000FF"/>
          <w:sz w:val="24"/>
          <w:szCs w:val="24"/>
          <w:vertAlign w:val="superscript"/>
          <w:rtl/>
        </w:rPr>
        <w:footnoteReference w:customMarkFollows="1" w:id="374"/>
        <w:t>374</w:t>
      </w:r>
      <w:r>
        <w:rPr>
          <w:rFonts w:ascii="David" w:hAnsi="David" w:cs="David"/>
          <w:color w:val="000000"/>
          <w:sz w:val="24"/>
          <w:szCs w:val="24"/>
          <w:rtl/>
        </w:rPr>
        <w:t>. על הממלא כלי לשם מי חטאת, וקודם שהגיעו המים לכלי, נמלך עליו לשתות, עי' לעיל</w:t>
      </w:r>
      <w:r>
        <w:rPr>
          <w:rFonts w:ascii="David" w:hAnsi="David" w:cs="David"/>
          <w:color w:val="0000FF"/>
          <w:sz w:val="24"/>
          <w:szCs w:val="24"/>
          <w:vertAlign w:val="superscript"/>
          <w:rtl/>
        </w:rPr>
        <w:footnoteReference w:customMarkFollows="1" w:id="375"/>
        <w:t>375</w:t>
      </w:r>
      <w:r>
        <w:rPr>
          <w:rFonts w:ascii="David" w:hAnsi="David" w:cs="David"/>
          <w:color w:val="000000"/>
          <w:sz w:val="24"/>
          <w:szCs w:val="24"/>
          <w:rtl/>
        </w:rPr>
        <w:t xml:space="preserve">. </w:t>
      </w:r>
    </w:p>
    <w:p w14:paraId="2071641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[במי טבילה]</w:t>
      </w:r>
    </w:p>
    <w:p w14:paraId="3919B9A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המטביל כלי כדי לטהרו למילוי ולקידוש</w:t>
      </w:r>
      <w:r>
        <w:rPr>
          <w:rFonts w:ascii="David" w:hAnsi="David" w:cs="David"/>
          <w:color w:val="0000FF"/>
          <w:sz w:val="24"/>
          <w:szCs w:val="24"/>
          <w:vertAlign w:val="superscript"/>
          <w:rtl/>
        </w:rPr>
        <w:footnoteReference w:customMarkFollows="1" w:id="376"/>
        <w:t>376</w:t>
      </w:r>
      <w:r>
        <w:rPr>
          <w:rFonts w:ascii="David" w:hAnsi="David" w:cs="David"/>
          <w:color w:val="000000"/>
          <w:sz w:val="24"/>
          <w:szCs w:val="24"/>
          <w:rtl/>
        </w:rPr>
        <w:t>, והיתה הטבילה במים הכשרים למילוי, יש מן האחרונים שכתבו שאפשר למלאות בו מי חטאת, והמים הנשארים בכלי מן הטבילה אינם פוסלים את המילוי - ואינם כשאר מים שהיו בכלי קודם המילוי, הפוסלים אותו</w:t>
      </w:r>
      <w:r>
        <w:rPr>
          <w:rFonts w:ascii="David" w:hAnsi="David" w:cs="David"/>
          <w:color w:val="0000FF"/>
          <w:sz w:val="24"/>
          <w:szCs w:val="24"/>
          <w:vertAlign w:val="superscript"/>
          <w:rtl/>
        </w:rPr>
        <w:footnoteReference w:customMarkFollows="1" w:id="377"/>
        <w:t>377</w:t>
      </w:r>
      <w:r>
        <w:rPr>
          <w:rFonts w:ascii="David" w:hAnsi="David" w:cs="David"/>
          <w:color w:val="000000"/>
          <w:sz w:val="24"/>
          <w:szCs w:val="24"/>
          <w:rtl/>
        </w:rPr>
        <w:t xml:space="preserve"> - שאף הם כשרים, ואף על פי שלא שאבם מתחילה לשם מי חטאת, שכיון שידע בשעת הטבילה שישארו מים בכלי, חשוב כאילו מילאם מתחילה לשמה</w:t>
      </w:r>
      <w:r>
        <w:rPr>
          <w:rFonts w:ascii="David" w:hAnsi="David" w:cs="David"/>
          <w:color w:val="0000FF"/>
          <w:sz w:val="24"/>
          <w:szCs w:val="24"/>
          <w:vertAlign w:val="superscript"/>
          <w:rtl/>
        </w:rPr>
        <w:footnoteReference w:customMarkFollows="1" w:id="378"/>
        <w:t>378</w:t>
      </w:r>
      <w:r>
        <w:rPr>
          <w:rFonts w:ascii="David" w:hAnsi="David" w:cs="David"/>
          <w:color w:val="000000"/>
          <w:sz w:val="24"/>
          <w:szCs w:val="24"/>
          <w:rtl/>
        </w:rPr>
        <w:t>, ויש שצידדו לומר, שאינו מועיל אלא כשמילא את המים בגוף המעיין, ולא במים הבאים מהמעיין, ומשום שהמים שבדופן הכלי מתערבים במי המעיין, וחשוב כאילו באו עתה לכלי לשם מי חטאת</w:t>
      </w:r>
      <w:r>
        <w:rPr>
          <w:rFonts w:ascii="David" w:hAnsi="David" w:cs="David"/>
          <w:color w:val="0000FF"/>
          <w:sz w:val="24"/>
          <w:szCs w:val="24"/>
          <w:vertAlign w:val="superscript"/>
          <w:rtl/>
        </w:rPr>
        <w:footnoteReference w:customMarkFollows="1" w:id="379"/>
        <w:t>379</w:t>
      </w:r>
      <w:r>
        <w:rPr>
          <w:rFonts w:ascii="David" w:hAnsi="David" w:cs="David"/>
          <w:color w:val="000000"/>
          <w:sz w:val="24"/>
          <w:szCs w:val="24"/>
          <w:rtl/>
        </w:rPr>
        <w:t xml:space="preserve">. ובקרויה - דלעת שעשאוה חלולה </w:t>
      </w:r>
    </w:p>
    <w:p w14:paraId="2AF4C3D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כדי לשאוב בה</w:t>
      </w:r>
      <w:r>
        <w:rPr>
          <w:rFonts w:ascii="David" w:hAnsi="David" w:cs="David"/>
          <w:color w:val="0000FF"/>
          <w:sz w:val="24"/>
          <w:szCs w:val="24"/>
          <w:vertAlign w:val="superscript"/>
          <w:rtl/>
        </w:rPr>
        <w:footnoteReference w:customMarkFollows="1" w:id="380"/>
        <w:t>380</w:t>
      </w:r>
      <w:r>
        <w:rPr>
          <w:rFonts w:ascii="David" w:hAnsi="David" w:cs="David"/>
          <w:color w:val="000000"/>
          <w:sz w:val="24"/>
          <w:szCs w:val="24"/>
          <w:rtl/>
        </w:rPr>
        <w:t>, והיא מתרככת ודרכה לבלוע ולפלוט</w:t>
      </w:r>
      <w:r>
        <w:rPr>
          <w:rFonts w:ascii="David" w:hAnsi="David" w:cs="David"/>
          <w:color w:val="0000FF"/>
          <w:sz w:val="24"/>
          <w:szCs w:val="24"/>
          <w:vertAlign w:val="superscript"/>
          <w:rtl/>
        </w:rPr>
        <w:footnoteReference w:customMarkFollows="1" w:id="381"/>
        <w:t>381</w:t>
      </w:r>
      <w:r>
        <w:rPr>
          <w:rFonts w:ascii="David" w:hAnsi="David" w:cs="David"/>
          <w:color w:val="000000"/>
          <w:sz w:val="24"/>
          <w:szCs w:val="24"/>
          <w:rtl/>
        </w:rPr>
        <w:t xml:space="preserve"> - שהטבילוה במים הכשרים למילוי - שלא מחמת שנטמאה</w:t>
      </w:r>
      <w:r>
        <w:rPr>
          <w:rFonts w:ascii="David" w:hAnsi="David" w:cs="David"/>
          <w:color w:val="0000FF"/>
          <w:sz w:val="24"/>
          <w:szCs w:val="24"/>
          <w:vertAlign w:val="superscript"/>
          <w:rtl/>
        </w:rPr>
        <w:footnoteReference w:customMarkFollows="1" w:id="382"/>
        <w:t>382</w:t>
      </w:r>
      <w:r>
        <w:rPr>
          <w:rFonts w:ascii="David" w:hAnsi="David" w:cs="David"/>
          <w:color w:val="000000"/>
          <w:sz w:val="24"/>
          <w:szCs w:val="24"/>
          <w:rtl/>
        </w:rPr>
        <w:t xml:space="preserve"> - יש מן האחרונים שפירשו שנחלקו בה תנאים: לדעת תנא קמא, מותר לשאוב בה מי חטאת ולקדשם</w:t>
      </w:r>
      <w:r>
        <w:rPr>
          <w:rFonts w:ascii="David" w:hAnsi="David" w:cs="David"/>
          <w:color w:val="0000FF"/>
          <w:sz w:val="24"/>
          <w:szCs w:val="24"/>
          <w:vertAlign w:val="superscript"/>
          <w:rtl/>
        </w:rPr>
        <w:footnoteReference w:customMarkFollows="1" w:id="383"/>
        <w:t>383</w:t>
      </w:r>
      <w:r>
        <w:rPr>
          <w:rFonts w:ascii="David" w:hAnsi="David" w:cs="David"/>
          <w:color w:val="000000"/>
          <w:sz w:val="24"/>
          <w:szCs w:val="24"/>
          <w:rtl/>
        </w:rPr>
        <w:t>, ואף על פי שהיא בולעת, אין אומרים שתפלוט מי הטבילה שלא נשאבו לשם חטאת, ויחזרו ויפסלו את המים העומדים לקידוש</w:t>
      </w:r>
      <w:r>
        <w:rPr>
          <w:rFonts w:ascii="David" w:hAnsi="David" w:cs="David"/>
          <w:color w:val="0000FF"/>
          <w:sz w:val="24"/>
          <w:szCs w:val="24"/>
          <w:vertAlign w:val="superscript"/>
          <w:rtl/>
        </w:rPr>
        <w:footnoteReference w:customMarkFollows="1" w:id="384"/>
        <w:t>384</w:t>
      </w:r>
      <w:r>
        <w:rPr>
          <w:rFonts w:ascii="David" w:hAnsi="David" w:cs="David"/>
          <w:color w:val="000000"/>
          <w:sz w:val="24"/>
          <w:szCs w:val="24"/>
          <w:rtl/>
        </w:rPr>
        <w:t>, שאנו אומרים שדעתו בשעת הטבילה שהמים שישארו בלועים בתוך הקרויה לאחר שניגבה, יהיו שאובים לקידוש, לפי שאי אפשר להכשירה באופן אחר</w:t>
      </w:r>
      <w:r>
        <w:rPr>
          <w:rFonts w:ascii="David" w:hAnsi="David" w:cs="David"/>
          <w:color w:val="0000FF"/>
          <w:sz w:val="24"/>
          <w:szCs w:val="24"/>
          <w:vertAlign w:val="superscript"/>
          <w:rtl/>
        </w:rPr>
        <w:footnoteReference w:customMarkFollows="1" w:id="385"/>
        <w:t>385</w:t>
      </w:r>
      <w:r>
        <w:rPr>
          <w:rFonts w:ascii="David" w:hAnsi="David" w:cs="David"/>
          <w:color w:val="000000"/>
          <w:sz w:val="24"/>
          <w:szCs w:val="24"/>
          <w:rtl/>
        </w:rPr>
        <w:t xml:space="preserve"> - על הטעם שאין לחוש שמא תפלוט מים אחר הקידוש, עי' להלן</w:t>
      </w:r>
      <w:r>
        <w:rPr>
          <w:rFonts w:ascii="David" w:hAnsi="David" w:cs="David"/>
          <w:color w:val="0000FF"/>
          <w:sz w:val="24"/>
          <w:szCs w:val="24"/>
          <w:vertAlign w:val="superscript"/>
          <w:rtl/>
        </w:rPr>
        <w:footnoteReference w:customMarkFollows="1" w:id="386"/>
        <w:t>386</w:t>
      </w:r>
      <w:r>
        <w:rPr>
          <w:rFonts w:ascii="David" w:hAnsi="David" w:cs="David"/>
          <w:color w:val="000000"/>
          <w:sz w:val="24"/>
          <w:szCs w:val="24"/>
          <w:rtl/>
        </w:rPr>
        <w:t xml:space="preserve"> - ודוקא לאחר שנגבוה ממים שנשארו בה מן הטבילה יכול למלאות בה, שכיון שאפשר לנגבה, לא התירו בלא ניגוב</w:t>
      </w:r>
      <w:r>
        <w:rPr>
          <w:rFonts w:ascii="David" w:hAnsi="David" w:cs="David"/>
          <w:color w:val="0000FF"/>
          <w:sz w:val="24"/>
          <w:szCs w:val="24"/>
          <w:vertAlign w:val="superscript"/>
          <w:rtl/>
        </w:rPr>
        <w:footnoteReference w:customMarkFollows="1" w:id="387"/>
        <w:t>387</w:t>
      </w:r>
      <w:r>
        <w:rPr>
          <w:rFonts w:ascii="David" w:hAnsi="David" w:cs="David"/>
          <w:color w:val="000000"/>
          <w:sz w:val="24"/>
          <w:szCs w:val="24"/>
          <w:rtl/>
        </w:rPr>
        <w:t>, ולדעת רבי יהושע, אין למלאות בה, כיון שהיא פולטת מים שלא נתמלאו לשם מי חטאת ופסולים לקידוש</w:t>
      </w:r>
      <w:r>
        <w:rPr>
          <w:rFonts w:ascii="David" w:hAnsi="David" w:cs="David"/>
          <w:color w:val="0000FF"/>
          <w:sz w:val="24"/>
          <w:szCs w:val="24"/>
          <w:vertAlign w:val="superscript"/>
          <w:rtl/>
        </w:rPr>
        <w:footnoteReference w:customMarkFollows="1" w:id="388"/>
        <w:t>388</w:t>
      </w:r>
      <w:r>
        <w:rPr>
          <w:rFonts w:ascii="David" w:hAnsi="David" w:cs="David"/>
          <w:color w:val="000000"/>
          <w:sz w:val="24"/>
          <w:szCs w:val="24"/>
          <w:rtl/>
        </w:rPr>
        <w:t xml:space="preserve">. </w:t>
      </w:r>
    </w:p>
    <w:p w14:paraId="0B0AE0F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[בשכר]</w:t>
      </w:r>
    </w:p>
    <w:p w14:paraId="3B64F18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מותר ליטול שכר על מילוי המים - ולכך המקדש אשה במי חטאת, מקודשת</w:t>
      </w:r>
      <w:r>
        <w:rPr>
          <w:rFonts w:ascii="David" w:hAnsi="David" w:cs="David"/>
          <w:color w:val="0000FF"/>
          <w:sz w:val="24"/>
          <w:szCs w:val="24"/>
          <w:vertAlign w:val="superscript"/>
          <w:rtl/>
        </w:rPr>
        <w:footnoteReference w:customMarkFollows="1" w:id="389"/>
        <w:t>389</w:t>
      </w:r>
      <w:r>
        <w:rPr>
          <w:rFonts w:ascii="David" w:hAnsi="David" w:cs="David"/>
          <w:color w:val="000000"/>
          <w:sz w:val="24"/>
          <w:szCs w:val="24"/>
          <w:rtl/>
        </w:rPr>
        <w:t xml:space="preserve"> - ואף על פי שעל קידוש והזאה* אסור ליטול שכר</w:t>
      </w:r>
      <w:r>
        <w:rPr>
          <w:rFonts w:ascii="David" w:hAnsi="David" w:cs="David"/>
          <w:color w:val="0000FF"/>
          <w:sz w:val="24"/>
          <w:szCs w:val="24"/>
          <w:vertAlign w:val="superscript"/>
          <w:rtl/>
        </w:rPr>
        <w:footnoteReference w:customMarkFollows="1" w:id="390"/>
        <w:t>390</w:t>
      </w:r>
      <w:r>
        <w:rPr>
          <w:rFonts w:ascii="David" w:hAnsi="David" w:cs="David"/>
          <w:color w:val="000000"/>
          <w:sz w:val="24"/>
          <w:szCs w:val="24"/>
          <w:rtl/>
        </w:rPr>
        <w:t xml:space="preserve"> - שהוא בכלל איסור נטילת שכר על לימוד תורה ועשיית מצוה</w:t>
      </w:r>
      <w:r>
        <w:rPr>
          <w:rFonts w:ascii="David" w:hAnsi="David" w:cs="David"/>
          <w:color w:val="0000FF"/>
          <w:sz w:val="24"/>
          <w:szCs w:val="24"/>
          <w:vertAlign w:val="superscript"/>
          <w:rtl/>
        </w:rPr>
        <w:footnoteReference w:customMarkFollows="1" w:id="391"/>
        <w:t>391</w:t>
      </w:r>
      <w:r>
        <w:rPr>
          <w:rFonts w:ascii="David" w:hAnsi="David" w:cs="David"/>
          <w:color w:val="000000"/>
          <w:sz w:val="24"/>
          <w:szCs w:val="24"/>
          <w:rtl/>
        </w:rPr>
        <w:t xml:space="preserve"> - לפי שמילוי המים דבר שיש בו טורח הוא, ולא הטילתו תורה עליו</w:t>
      </w:r>
      <w:r>
        <w:rPr>
          <w:rFonts w:ascii="David" w:hAnsi="David" w:cs="David"/>
          <w:color w:val="0000FF"/>
          <w:sz w:val="24"/>
          <w:szCs w:val="24"/>
          <w:vertAlign w:val="superscript"/>
          <w:rtl/>
        </w:rPr>
        <w:footnoteReference w:customMarkFollows="1" w:id="392"/>
        <w:t>392</w:t>
      </w:r>
      <w:r>
        <w:rPr>
          <w:rFonts w:ascii="David" w:hAnsi="David" w:cs="David"/>
          <w:color w:val="000000"/>
          <w:sz w:val="24"/>
          <w:szCs w:val="24"/>
          <w:rtl/>
        </w:rPr>
        <w:t>, ושכר טרחו הוא נוטל, ולא שכר הכשרת המצוה</w:t>
      </w:r>
      <w:r>
        <w:rPr>
          <w:rFonts w:ascii="David" w:hAnsi="David" w:cs="David"/>
          <w:color w:val="0000FF"/>
          <w:sz w:val="24"/>
          <w:szCs w:val="24"/>
          <w:vertAlign w:val="superscript"/>
          <w:rtl/>
        </w:rPr>
        <w:footnoteReference w:customMarkFollows="1" w:id="393"/>
        <w:t>393</w:t>
      </w:r>
      <w:r>
        <w:rPr>
          <w:rFonts w:ascii="David" w:hAnsi="David" w:cs="David"/>
          <w:color w:val="000000"/>
          <w:sz w:val="24"/>
          <w:szCs w:val="24"/>
          <w:rtl/>
        </w:rPr>
        <w:t>, או מפני שהמילוי אינו עיקר המצוה אלא הקידוש</w:t>
      </w:r>
      <w:r>
        <w:rPr>
          <w:rFonts w:ascii="David" w:hAnsi="David" w:cs="David"/>
          <w:color w:val="0000FF"/>
          <w:sz w:val="24"/>
          <w:szCs w:val="24"/>
          <w:vertAlign w:val="superscript"/>
          <w:rtl/>
        </w:rPr>
        <w:footnoteReference w:customMarkFollows="1" w:id="394"/>
        <w:t>394</w:t>
      </w:r>
      <w:r>
        <w:rPr>
          <w:rFonts w:ascii="David" w:hAnsi="David" w:cs="David"/>
          <w:color w:val="000000"/>
          <w:sz w:val="24"/>
          <w:szCs w:val="24"/>
          <w:rtl/>
        </w:rPr>
        <w:t>. על קידוש בשכר, עי' להלן: הקידוש</w:t>
      </w:r>
      <w:r>
        <w:rPr>
          <w:rFonts w:ascii="David" w:hAnsi="David" w:cs="David"/>
          <w:color w:val="0000FF"/>
          <w:sz w:val="24"/>
          <w:szCs w:val="24"/>
          <w:vertAlign w:val="superscript"/>
          <w:rtl/>
        </w:rPr>
        <w:footnoteReference w:customMarkFollows="1" w:id="395"/>
        <w:t>395</w:t>
      </w:r>
      <w:r>
        <w:rPr>
          <w:rFonts w:ascii="David" w:hAnsi="David" w:cs="David"/>
          <w:color w:val="000000"/>
          <w:sz w:val="24"/>
          <w:szCs w:val="24"/>
          <w:rtl/>
        </w:rPr>
        <w:t xml:space="preserve">. </w:t>
      </w:r>
    </w:p>
    <w:p w14:paraId="2A923EF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[מהותו]</w:t>
      </w:r>
    </w:p>
    <w:p w14:paraId="4786D77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ג. הקידוש.</w:t>
      </w:r>
      <w:r>
        <w:rPr>
          <w:rFonts w:ascii="David" w:hAnsi="David" w:cs="David"/>
          <w:color w:val="000000"/>
          <w:sz w:val="24"/>
          <w:szCs w:val="24"/>
          <w:rtl/>
        </w:rPr>
        <w:t xml:space="preserve"> לאחר שנתן את המים בכלי, נותן אפר-חטאת* על פני המים</w:t>
      </w:r>
      <w:r>
        <w:rPr>
          <w:rFonts w:ascii="David" w:hAnsi="David" w:cs="David"/>
          <w:color w:val="0000FF"/>
          <w:sz w:val="24"/>
          <w:szCs w:val="24"/>
          <w:vertAlign w:val="superscript"/>
          <w:rtl/>
        </w:rPr>
        <w:footnoteReference w:customMarkFollows="1" w:id="396"/>
        <w:t>396</w:t>
      </w:r>
      <w:r>
        <w:rPr>
          <w:rFonts w:ascii="David" w:hAnsi="David" w:cs="David"/>
          <w:color w:val="000000"/>
          <w:sz w:val="24"/>
          <w:szCs w:val="24"/>
          <w:rtl/>
        </w:rPr>
        <w:t>, ונתינה זו קרויה קידוש</w:t>
      </w:r>
      <w:r>
        <w:rPr>
          <w:rFonts w:ascii="David" w:hAnsi="David" w:cs="David"/>
          <w:color w:val="0000FF"/>
          <w:sz w:val="24"/>
          <w:szCs w:val="24"/>
          <w:vertAlign w:val="superscript"/>
          <w:rtl/>
        </w:rPr>
        <w:footnoteReference w:customMarkFollows="1" w:id="397"/>
        <w:t>397</w:t>
      </w:r>
      <w:r>
        <w:rPr>
          <w:rFonts w:ascii="David" w:hAnsi="David" w:cs="David"/>
          <w:color w:val="000000"/>
          <w:sz w:val="24"/>
          <w:szCs w:val="24"/>
          <w:rtl/>
        </w:rPr>
        <w:t>, והיא האמורה בכתוב: ולקחו לטמא מעפר שרפת החטאת ונתן עליו מים חיים אל כלי</w:t>
      </w:r>
      <w:r>
        <w:rPr>
          <w:rFonts w:ascii="David" w:hAnsi="David" w:cs="David"/>
          <w:color w:val="0000FF"/>
          <w:sz w:val="24"/>
          <w:szCs w:val="24"/>
          <w:vertAlign w:val="superscript"/>
          <w:rtl/>
        </w:rPr>
        <w:footnoteReference w:customMarkFollows="1" w:id="398"/>
        <w:t>398</w:t>
      </w:r>
      <w:r>
        <w:rPr>
          <w:rFonts w:ascii="David" w:hAnsi="David" w:cs="David"/>
          <w:color w:val="000000"/>
          <w:sz w:val="24"/>
          <w:szCs w:val="24"/>
          <w:rtl/>
        </w:rPr>
        <w:t>, ואין המים נעשים מי חטאת, אלא עם מתן האפר</w:t>
      </w:r>
      <w:r>
        <w:rPr>
          <w:rFonts w:ascii="David" w:hAnsi="David" w:cs="David"/>
          <w:color w:val="0000FF"/>
          <w:sz w:val="24"/>
          <w:szCs w:val="24"/>
          <w:vertAlign w:val="superscript"/>
          <w:rtl/>
        </w:rPr>
        <w:footnoteReference w:customMarkFollows="1" w:id="399"/>
        <w:t>399</w:t>
      </w:r>
      <w:r>
        <w:rPr>
          <w:rFonts w:ascii="David" w:hAnsi="David" w:cs="David"/>
          <w:color w:val="000000"/>
          <w:sz w:val="24"/>
          <w:szCs w:val="24"/>
          <w:rtl/>
        </w:rPr>
        <w:t>. והקידוש כשר אף בלילה</w:t>
      </w:r>
      <w:r>
        <w:rPr>
          <w:rFonts w:ascii="David" w:hAnsi="David" w:cs="David"/>
          <w:color w:val="0000FF"/>
          <w:sz w:val="24"/>
          <w:szCs w:val="24"/>
          <w:vertAlign w:val="superscript"/>
          <w:rtl/>
        </w:rPr>
        <w:footnoteReference w:customMarkFollows="1" w:id="400"/>
        <w:t>400</w:t>
      </w:r>
      <w:r>
        <w:rPr>
          <w:rFonts w:ascii="David" w:hAnsi="David" w:cs="David"/>
          <w:color w:val="000000"/>
          <w:sz w:val="24"/>
          <w:szCs w:val="24"/>
          <w:rtl/>
        </w:rPr>
        <w:t>, על המקור לכך שכשר בלילה, ואינו כהזאה שאינה כשרה אלא ביום</w:t>
      </w:r>
      <w:r>
        <w:rPr>
          <w:rFonts w:ascii="David" w:hAnsi="David" w:cs="David"/>
          <w:color w:val="0000FF"/>
          <w:sz w:val="24"/>
          <w:szCs w:val="24"/>
          <w:vertAlign w:val="superscript"/>
          <w:rtl/>
        </w:rPr>
        <w:footnoteReference w:customMarkFollows="1" w:id="401"/>
        <w:t>401</w:t>
      </w:r>
      <w:r>
        <w:rPr>
          <w:rFonts w:ascii="David" w:hAnsi="David" w:cs="David"/>
          <w:color w:val="000000"/>
          <w:sz w:val="24"/>
          <w:szCs w:val="24"/>
          <w:rtl/>
        </w:rPr>
        <w:t>, עי' לעיל: המילוי</w:t>
      </w:r>
      <w:r>
        <w:rPr>
          <w:rFonts w:ascii="David" w:hAnsi="David" w:cs="David"/>
          <w:color w:val="0000FF"/>
          <w:sz w:val="24"/>
          <w:szCs w:val="24"/>
          <w:vertAlign w:val="superscript"/>
          <w:rtl/>
        </w:rPr>
        <w:footnoteReference w:customMarkFollows="1" w:id="402"/>
        <w:t>402</w:t>
      </w:r>
      <w:r>
        <w:rPr>
          <w:rFonts w:ascii="David" w:hAnsi="David" w:cs="David"/>
          <w:color w:val="000000"/>
          <w:sz w:val="24"/>
          <w:szCs w:val="24"/>
          <w:rtl/>
        </w:rPr>
        <w:t>. ויש מן האחרונים שכתבו שהמקדש צריך לברך: אשר קדשנו במצוותיו וציונו לקדש מי חטאת</w:t>
      </w:r>
      <w:r>
        <w:rPr>
          <w:rFonts w:ascii="David" w:hAnsi="David" w:cs="David"/>
          <w:color w:val="0000FF"/>
          <w:sz w:val="24"/>
          <w:szCs w:val="24"/>
          <w:vertAlign w:val="superscript"/>
          <w:rtl/>
        </w:rPr>
        <w:footnoteReference w:customMarkFollows="1" w:id="403"/>
        <w:t>403</w:t>
      </w:r>
      <w:r>
        <w:rPr>
          <w:rFonts w:ascii="David" w:hAnsi="David" w:cs="David"/>
          <w:color w:val="000000"/>
          <w:sz w:val="24"/>
          <w:szCs w:val="24"/>
          <w:rtl/>
        </w:rPr>
        <w:t xml:space="preserve">. </w:t>
      </w:r>
    </w:p>
    <w:p w14:paraId="1B0581A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[הקדים אפר למים]</w:t>
      </w:r>
    </w:p>
    <w:p w14:paraId="3D4B695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נתן האפר תחילה בכלי, ואחר כך נתן עליו את המים, חכמים פוסלים - ויש מן האחרונים שנסתפקו אם היינו שנפסלו המים, ושוב אין בידו לחזור וליתן עליהם אפר ולקדשם, או שהאפר הראשון כמי שאינו, וכל שחוזר ונותן אפר על גבי המים, מתקדשים</w:t>
      </w:r>
      <w:r>
        <w:rPr>
          <w:rFonts w:ascii="David" w:hAnsi="David" w:cs="David"/>
          <w:color w:val="0000FF"/>
          <w:sz w:val="24"/>
          <w:szCs w:val="24"/>
          <w:vertAlign w:val="superscript"/>
          <w:rtl/>
        </w:rPr>
        <w:footnoteReference w:customMarkFollows="1" w:id="404"/>
        <w:t>404</w:t>
      </w:r>
      <w:r>
        <w:rPr>
          <w:rFonts w:ascii="David" w:hAnsi="David" w:cs="David"/>
          <w:color w:val="000000"/>
          <w:sz w:val="24"/>
          <w:szCs w:val="24"/>
          <w:rtl/>
        </w:rPr>
        <w:t xml:space="preserve"> - ור' שמעון מכשיר</w:t>
      </w:r>
      <w:r>
        <w:rPr>
          <w:rFonts w:ascii="David" w:hAnsi="David" w:cs="David"/>
          <w:color w:val="0000FF"/>
          <w:sz w:val="24"/>
          <w:szCs w:val="24"/>
          <w:vertAlign w:val="superscript"/>
          <w:rtl/>
        </w:rPr>
        <w:footnoteReference w:customMarkFollows="1" w:id="405"/>
        <w:t>405</w:t>
      </w:r>
      <w:r>
        <w:rPr>
          <w:rFonts w:ascii="David" w:hAnsi="David" w:cs="David"/>
          <w:color w:val="000000"/>
          <w:sz w:val="24"/>
          <w:szCs w:val="24"/>
          <w:rtl/>
        </w:rPr>
        <w:t xml:space="preserve"> - על טעמי המחלוקת, עי' להלן</w:t>
      </w:r>
      <w:r>
        <w:rPr>
          <w:rFonts w:ascii="David" w:hAnsi="David" w:cs="David"/>
          <w:color w:val="0000FF"/>
          <w:sz w:val="24"/>
          <w:szCs w:val="24"/>
          <w:vertAlign w:val="superscript"/>
          <w:rtl/>
        </w:rPr>
        <w:footnoteReference w:customMarkFollows="1" w:id="406"/>
        <w:t>406</w:t>
      </w:r>
      <w:r>
        <w:rPr>
          <w:rFonts w:ascii="David" w:hAnsi="David" w:cs="David"/>
          <w:color w:val="000000"/>
          <w:sz w:val="24"/>
          <w:szCs w:val="24"/>
          <w:rtl/>
        </w:rPr>
        <w:t>, על הסוברים שלא הכשיר ר' שמעון, אלא כשנתן כל המים בבת אחת, ולא הפסיק באמצע, עי' להלן</w:t>
      </w:r>
      <w:r>
        <w:rPr>
          <w:rFonts w:ascii="David" w:hAnsi="David" w:cs="David"/>
          <w:color w:val="0000FF"/>
          <w:sz w:val="24"/>
          <w:szCs w:val="24"/>
          <w:vertAlign w:val="superscript"/>
          <w:rtl/>
        </w:rPr>
        <w:footnoteReference w:customMarkFollows="1" w:id="407"/>
        <w:t>407</w:t>
      </w:r>
      <w:r>
        <w:rPr>
          <w:rFonts w:ascii="David" w:hAnsi="David" w:cs="David"/>
          <w:color w:val="000000"/>
          <w:sz w:val="24"/>
          <w:szCs w:val="24"/>
          <w:rtl/>
        </w:rPr>
        <w:t xml:space="preserve"> - ומכל מקום לכתחילה אף לדעת ר' שמעון צריך שיתן המים קודם לאפר</w:t>
      </w:r>
      <w:r>
        <w:rPr>
          <w:rFonts w:ascii="David" w:hAnsi="David" w:cs="David"/>
          <w:color w:val="0000FF"/>
          <w:sz w:val="24"/>
          <w:szCs w:val="24"/>
          <w:vertAlign w:val="superscript"/>
          <w:rtl/>
        </w:rPr>
        <w:footnoteReference w:customMarkFollows="1" w:id="408"/>
        <w:t>408</w:t>
      </w:r>
      <w:r>
        <w:rPr>
          <w:rFonts w:ascii="David" w:hAnsi="David" w:cs="David"/>
          <w:color w:val="000000"/>
          <w:sz w:val="24"/>
          <w:szCs w:val="24"/>
          <w:rtl/>
        </w:rPr>
        <w:t xml:space="preserve"> - וכן מצינו שהיו נוהגים במקדש</w:t>
      </w:r>
      <w:r>
        <w:rPr>
          <w:rFonts w:ascii="David" w:hAnsi="David" w:cs="David"/>
          <w:color w:val="0000FF"/>
          <w:sz w:val="24"/>
          <w:szCs w:val="24"/>
          <w:vertAlign w:val="superscript"/>
          <w:rtl/>
        </w:rPr>
        <w:footnoteReference w:customMarkFollows="1" w:id="409"/>
        <w:t>409</w:t>
      </w:r>
      <w:r>
        <w:rPr>
          <w:rFonts w:ascii="David" w:hAnsi="David" w:cs="David"/>
          <w:color w:val="000000"/>
          <w:sz w:val="24"/>
          <w:szCs w:val="24"/>
          <w:rtl/>
        </w:rPr>
        <w:t xml:space="preserve"> - לפי שנאמר: ולקחו וגו' מעפר שריפת החטאת</w:t>
      </w:r>
      <w:r>
        <w:rPr>
          <w:rFonts w:ascii="David" w:hAnsi="David" w:cs="David"/>
          <w:color w:val="0000FF"/>
          <w:sz w:val="24"/>
          <w:szCs w:val="24"/>
          <w:vertAlign w:val="superscript"/>
          <w:rtl/>
        </w:rPr>
        <w:footnoteReference w:customMarkFollows="1" w:id="410"/>
        <w:t>410</w:t>
      </w:r>
      <w:r>
        <w:rPr>
          <w:rFonts w:ascii="David" w:hAnsi="David" w:cs="David"/>
          <w:color w:val="000000"/>
          <w:sz w:val="24"/>
          <w:szCs w:val="24"/>
          <w:rtl/>
        </w:rPr>
        <w:t>, וכי עפר הוא, והלא אפר הוא, אלא שינה הכתוב במשמעו לדון הימנו גזרה-שוה*, נאמר כאן עפר ונאמר להלן - לענין מי סוטה*</w:t>
      </w:r>
      <w:r>
        <w:rPr>
          <w:rFonts w:ascii="David" w:hAnsi="David" w:cs="David"/>
          <w:color w:val="0000FF"/>
          <w:sz w:val="24"/>
          <w:szCs w:val="24"/>
          <w:vertAlign w:val="superscript"/>
          <w:rtl/>
        </w:rPr>
        <w:footnoteReference w:customMarkFollows="1" w:id="411"/>
        <w:t>411</w:t>
      </w:r>
      <w:r>
        <w:rPr>
          <w:rFonts w:ascii="David" w:hAnsi="David" w:cs="David"/>
          <w:color w:val="000000"/>
          <w:sz w:val="24"/>
          <w:szCs w:val="24"/>
          <w:rtl/>
        </w:rPr>
        <w:t xml:space="preserve"> - עפר</w:t>
      </w:r>
      <w:r>
        <w:rPr>
          <w:rFonts w:ascii="David" w:hAnsi="David" w:cs="David"/>
          <w:color w:val="0000FF"/>
          <w:sz w:val="24"/>
          <w:szCs w:val="24"/>
          <w:vertAlign w:val="superscript"/>
          <w:rtl/>
        </w:rPr>
        <w:footnoteReference w:customMarkFollows="1" w:id="412"/>
        <w:t>412</w:t>
      </w:r>
      <w:r>
        <w:rPr>
          <w:rFonts w:ascii="David" w:hAnsi="David" w:cs="David"/>
          <w:color w:val="000000"/>
          <w:sz w:val="24"/>
          <w:szCs w:val="24"/>
          <w:rtl/>
        </w:rPr>
        <w:t>, מה להלן עפר על גבי מים</w:t>
      </w:r>
      <w:r>
        <w:rPr>
          <w:rFonts w:ascii="David" w:hAnsi="David" w:cs="David"/>
          <w:color w:val="0000FF"/>
          <w:sz w:val="24"/>
          <w:szCs w:val="24"/>
          <w:vertAlign w:val="superscript"/>
          <w:rtl/>
        </w:rPr>
        <w:footnoteReference w:customMarkFollows="1" w:id="413"/>
        <w:t>413</w:t>
      </w:r>
      <w:r>
        <w:rPr>
          <w:rFonts w:ascii="David" w:hAnsi="David" w:cs="David"/>
          <w:color w:val="000000"/>
          <w:sz w:val="24"/>
          <w:szCs w:val="24"/>
          <w:rtl/>
        </w:rPr>
        <w:t>, אף כאן עפר על גבי מים</w:t>
      </w:r>
      <w:r>
        <w:rPr>
          <w:rFonts w:ascii="David" w:hAnsi="David" w:cs="David"/>
          <w:color w:val="0000FF"/>
          <w:sz w:val="24"/>
          <w:szCs w:val="24"/>
          <w:vertAlign w:val="superscript"/>
          <w:rtl/>
        </w:rPr>
        <w:footnoteReference w:customMarkFollows="1" w:id="414"/>
        <w:t>414</w:t>
      </w:r>
      <w:r>
        <w:rPr>
          <w:rFonts w:ascii="David" w:hAnsi="David" w:cs="David"/>
          <w:color w:val="000000"/>
          <w:sz w:val="24"/>
          <w:szCs w:val="24"/>
          <w:rtl/>
        </w:rPr>
        <w:t>, ולא באה גזרה שוה זו אלא לענין דרך המילוי לכתחילה, שהרי בדיעבד דרש ר' שמעון שאם הקדים אפר למים כשר</w:t>
      </w:r>
      <w:r>
        <w:rPr>
          <w:rFonts w:ascii="David" w:hAnsi="David" w:cs="David"/>
          <w:color w:val="0000FF"/>
          <w:sz w:val="24"/>
          <w:szCs w:val="24"/>
          <w:vertAlign w:val="superscript"/>
          <w:rtl/>
        </w:rPr>
        <w:footnoteReference w:customMarkFollows="1" w:id="415"/>
        <w:t>415</w:t>
      </w:r>
      <w:r>
        <w:rPr>
          <w:rFonts w:ascii="David" w:hAnsi="David" w:cs="David"/>
          <w:color w:val="000000"/>
          <w:sz w:val="24"/>
          <w:szCs w:val="24"/>
          <w:rtl/>
        </w:rPr>
        <w:t>. והלכה כחכמים</w:t>
      </w:r>
      <w:r>
        <w:rPr>
          <w:rFonts w:ascii="David" w:hAnsi="David" w:cs="David"/>
          <w:color w:val="0000FF"/>
          <w:sz w:val="24"/>
          <w:szCs w:val="24"/>
          <w:vertAlign w:val="superscript"/>
          <w:rtl/>
        </w:rPr>
        <w:footnoteReference w:customMarkFollows="1" w:id="416"/>
        <w:t>416</w:t>
      </w:r>
      <w:r>
        <w:rPr>
          <w:rFonts w:ascii="David" w:hAnsi="David" w:cs="David"/>
          <w:color w:val="000000"/>
          <w:sz w:val="24"/>
          <w:szCs w:val="24"/>
          <w:rtl/>
        </w:rPr>
        <w:t>, שכן נשנית סתם משנה כדבריהם, ששנינו: אין מי חטאת נעשים מי חטאת אלא עם מתן אפר</w:t>
      </w:r>
      <w:r>
        <w:rPr>
          <w:rFonts w:ascii="David" w:hAnsi="David" w:cs="David"/>
          <w:color w:val="0000FF"/>
          <w:sz w:val="24"/>
          <w:szCs w:val="24"/>
          <w:vertAlign w:val="superscript"/>
          <w:rtl/>
        </w:rPr>
        <w:footnoteReference w:customMarkFollows="1" w:id="417"/>
        <w:t>417</w:t>
      </w:r>
      <w:r>
        <w:rPr>
          <w:rFonts w:ascii="David" w:hAnsi="David" w:cs="David"/>
          <w:color w:val="000000"/>
          <w:sz w:val="24"/>
          <w:szCs w:val="24"/>
          <w:rtl/>
        </w:rPr>
        <w:t>, היינו, שלא הוכשרו המים אלא אם נתן האפר על המים ולא המים על האפר</w:t>
      </w:r>
      <w:r>
        <w:rPr>
          <w:rFonts w:ascii="David" w:hAnsi="David" w:cs="David"/>
          <w:color w:val="0000FF"/>
          <w:sz w:val="24"/>
          <w:szCs w:val="24"/>
          <w:vertAlign w:val="superscript"/>
          <w:rtl/>
        </w:rPr>
        <w:footnoteReference w:customMarkFollows="1" w:id="418"/>
        <w:t>418</w:t>
      </w:r>
      <w:r>
        <w:rPr>
          <w:rFonts w:ascii="David" w:hAnsi="David" w:cs="David"/>
          <w:color w:val="000000"/>
          <w:sz w:val="24"/>
          <w:szCs w:val="24"/>
          <w:rtl/>
        </w:rPr>
        <w:t xml:space="preserve">. </w:t>
      </w:r>
    </w:p>
    <w:p w14:paraId="1115E72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[הטעם]</w:t>
      </w:r>
    </w:p>
    <w:p w14:paraId="1050CEB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בטעם מחלוקת ר' שמעון וחכמים, ביארו בתלמוד, שטעמו של ר' שמעון הוא משום שנאמר: ונתן עליו מים</w:t>
      </w:r>
      <w:r>
        <w:rPr>
          <w:rFonts w:ascii="David" w:hAnsi="David" w:cs="David"/>
          <w:color w:val="0000FF"/>
          <w:sz w:val="24"/>
          <w:szCs w:val="24"/>
          <w:vertAlign w:val="superscript"/>
          <w:rtl/>
        </w:rPr>
        <w:footnoteReference w:customMarkFollows="1" w:id="419"/>
        <w:t>419</w:t>
      </w:r>
      <w:r>
        <w:rPr>
          <w:rFonts w:ascii="David" w:hAnsi="David" w:cs="David"/>
          <w:color w:val="000000"/>
          <w:sz w:val="24"/>
          <w:szCs w:val="24"/>
          <w:rtl/>
        </w:rPr>
        <w:t>, שמשמע, אפר תחילה ומים על האפר, ונאמר: מים חיים אל כלי</w:t>
      </w:r>
      <w:r>
        <w:rPr>
          <w:rFonts w:ascii="David" w:hAnsi="David" w:cs="David"/>
          <w:color w:val="0000FF"/>
          <w:sz w:val="24"/>
          <w:szCs w:val="24"/>
          <w:vertAlign w:val="superscript"/>
          <w:rtl/>
        </w:rPr>
        <w:footnoteReference w:customMarkFollows="1" w:id="420"/>
        <w:t>420</w:t>
      </w:r>
      <w:r>
        <w:rPr>
          <w:rFonts w:ascii="David" w:hAnsi="David" w:cs="David"/>
          <w:color w:val="000000"/>
          <w:sz w:val="24"/>
          <w:szCs w:val="24"/>
          <w:rtl/>
        </w:rPr>
        <w:t xml:space="preserve"> - שמשמע שינתנו המים אל תוך הכלי ולא יהא אפר חוצץ ביניהם</w:t>
      </w:r>
      <w:r>
        <w:rPr>
          <w:rFonts w:ascii="David" w:hAnsi="David" w:cs="David"/>
          <w:color w:val="0000FF"/>
          <w:sz w:val="24"/>
          <w:szCs w:val="24"/>
          <w:vertAlign w:val="superscript"/>
          <w:rtl/>
        </w:rPr>
        <w:footnoteReference w:customMarkFollows="1" w:id="421"/>
        <w:t>421</w:t>
      </w:r>
      <w:r>
        <w:rPr>
          <w:rFonts w:ascii="David" w:hAnsi="David" w:cs="David"/>
          <w:color w:val="000000"/>
          <w:sz w:val="24"/>
          <w:szCs w:val="24"/>
          <w:rtl/>
        </w:rPr>
        <w:t xml:space="preserve"> - הא כיצד, רצה זה נותן, רצה זה נותן</w:t>
      </w:r>
      <w:r>
        <w:rPr>
          <w:rFonts w:ascii="David" w:hAnsi="David" w:cs="David"/>
          <w:color w:val="0000FF"/>
          <w:sz w:val="24"/>
          <w:szCs w:val="24"/>
          <w:vertAlign w:val="superscript"/>
          <w:rtl/>
        </w:rPr>
        <w:footnoteReference w:customMarkFollows="1" w:id="422"/>
        <w:t>422</w:t>
      </w:r>
      <w:r>
        <w:rPr>
          <w:rFonts w:ascii="David" w:hAnsi="David" w:cs="David"/>
          <w:color w:val="000000"/>
          <w:sz w:val="24"/>
          <w:szCs w:val="24"/>
          <w:rtl/>
        </w:rPr>
        <w:t xml:space="preserve"> - על כך שלכתחילה נותן המים תחילה, עי' לעיל</w:t>
      </w:r>
      <w:r>
        <w:rPr>
          <w:rFonts w:ascii="David" w:hAnsi="David" w:cs="David"/>
          <w:color w:val="0000FF"/>
          <w:sz w:val="24"/>
          <w:szCs w:val="24"/>
          <w:vertAlign w:val="superscript"/>
          <w:rtl/>
        </w:rPr>
        <w:footnoteReference w:customMarkFollows="1" w:id="423"/>
        <w:t>423</w:t>
      </w:r>
      <w:r>
        <w:rPr>
          <w:rFonts w:ascii="David" w:hAnsi="David" w:cs="David"/>
          <w:color w:val="000000"/>
          <w:sz w:val="24"/>
          <w:szCs w:val="24"/>
          <w:rtl/>
        </w:rPr>
        <w:t xml:space="preserve"> - ולדעת חכמים, הכתוב "מים חיים אל כלי" דוקא הוא, שהרי מצינו שבכל מקום המכשיר למעלה - שלענין מי סוטה*, העפר המכשיר את המים לבדוק את הסוטה, ניתן מעל </w:t>
      </w:r>
    </w:p>
    <w:p w14:paraId="0717AB7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w:t>
      </w:r>
      <w:r>
        <w:rPr>
          <w:rFonts w:ascii="David" w:hAnsi="David" w:cs="David"/>
          <w:color w:val="0000FF"/>
          <w:sz w:val="24"/>
          <w:szCs w:val="24"/>
          <w:vertAlign w:val="superscript"/>
          <w:rtl/>
        </w:rPr>
        <w:footnoteReference w:customMarkFollows="1" w:id="424"/>
        <w:t>424</w:t>
      </w:r>
      <w:r>
        <w:rPr>
          <w:rFonts w:ascii="David" w:hAnsi="David" w:cs="David"/>
          <w:color w:val="000000"/>
          <w:sz w:val="24"/>
          <w:szCs w:val="24"/>
          <w:rtl/>
        </w:rPr>
        <w:t>, ולענין טהרת-מצורע*, דם צפור של מצורע שמכשיר את המים להזאה*, ניתן מעל המים</w:t>
      </w:r>
      <w:r>
        <w:rPr>
          <w:rFonts w:ascii="David" w:hAnsi="David" w:cs="David"/>
          <w:color w:val="0000FF"/>
          <w:sz w:val="24"/>
          <w:szCs w:val="24"/>
          <w:vertAlign w:val="superscript"/>
          <w:rtl/>
        </w:rPr>
        <w:footnoteReference w:customMarkFollows="1" w:id="425"/>
        <w:t>425</w:t>
      </w:r>
      <w:r>
        <w:rPr>
          <w:rFonts w:ascii="David" w:hAnsi="David" w:cs="David"/>
          <w:color w:val="000000"/>
          <w:sz w:val="24"/>
          <w:szCs w:val="24"/>
          <w:rtl/>
        </w:rPr>
        <w:t xml:space="preserve"> - ולא נאמר "ונתן עליו מים" אלא לדרשה אחרת, ללמד שצריך לערב האפר במים</w:t>
      </w:r>
      <w:r>
        <w:rPr>
          <w:rFonts w:ascii="David" w:hAnsi="David" w:cs="David"/>
          <w:color w:val="0000FF"/>
          <w:sz w:val="24"/>
          <w:szCs w:val="24"/>
          <w:vertAlign w:val="superscript"/>
          <w:rtl/>
        </w:rPr>
        <w:footnoteReference w:customMarkFollows="1" w:id="426"/>
        <w:t>426</w:t>
      </w:r>
      <w:r>
        <w:rPr>
          <w:rFonts w:ascii="David" w:hAnsi="David" w:cs="David"/>
          <w:color w:val="000000"/>
          <w:sz w:val="24"/>
          <w:szCs w:val="24"/>
          <w:rtl/>
        </w:rPr>
        <w:t>, ועל כך, עי' להלן</w:t>
      </w:r>
      <w:r>
        <w:rPr>
          <w:rFonts w:ascii="David" w:hAnsi="David" w:cs="David"/>
          <w:color w:val="0000FF"/>
          <w:sz w:val="24"/>
          <w:szCs w:val="24"/>
          <w:vertAlign w:val="superscript"/>
          <w:rtl/>
        </w:rPr>
        <w:footnoteReference w:customMarkFollows="1" w:id="427"/>
        <w:t>427</w:t>
      </w:r>
      <w:r>
        <w:rPr>
          <w:rFonts w:ascii="David" w:hAnsi="David" w:cs="David"/>
          <w:color w:val="000000"/>
          <w:sz w:val="24"/>
          <w:szCs w:val="24"/>
          <w:rtl/>
        </w:rPr>
        <w:t>. ויש מן הראשונים שפירשו - לפי פשוטו של מקרא</w:t>
      </w:r>
      <w:r>
        <w:rPr>
          <w:rFonts w:ascii="David" w:hAnsi="David" w:cs="David"/>
          <w:color w:val="0000FF"/>
          <w:sz w:val="24"/>
          <w:szCs w:val="24"/>
          <w:vertAlign w:val="superscript"/>
          <w:rtl/>
        </w:rPr>
        <w:footnoteReference w:customMarkFollows="1" w:id="428"/>
        <w:t>428</w:t>
      </w:r>
      <w:r>
        <w:rPr>
          <w:rFonts w:ascii="David" w:hAnsi="David" w:cs="David"/>
          <w:color w:val="000000"/>
          <w:sz w:val="24"/>
          <w:szCs w:val="24"/>
          <w:rtl/>
        </w:rPr>
        <w:t xml:space="preserve"> - תיבת "עליו", בעבורו, דהיינו, שינתנו המים בכלי בעבור עפר שריפת החטאת המוזכר בכתוב</w:t>
      </w:r>
      <w:r>
        <w:rPr>
          <w:rFonts w:ascii="David" w:hAnsi="David" w:cs="David"/>
          <w:color w:val="0000FF"/>
          <w:sz w:val="24"/>
          <w:szCs w:val="24"/>
          <w:vertAlign w:val="superscript"/>
          <w:rtl/>
        </w:rPr>
        <w:footnoteReference w:customMarkFollows="1" w:id="429"/>
        <w:t>429</w:t>
      </w:r>
      <w:r>
        <w:rPr>
          <w:rFonts w:ascii="David" w:hAnsi="David" w:cs="David"/>
          <w:color w:val="000000"/>
          <w:sz w:val="24"/>
          <w:szCs w:val="24"/>
          <w:rtl/>
        </w:rPr>
        <w:t>. על הסוברים שלומדים מכך שצריך למלאות המים לשמה, עי' לעיל: המילוי</w:t>
      </w:r>
      <w:r>
        <w:rPr>
          <w:rFonts w:ascii="David" w:hAnsi="David" w:cs="David"/>
          <w:color w:val="0000FF"/>
          <w:sz w:val="24"/>
          <w:szCs w:val="24"/>
          <w:vertAlign w:val="superscript"/>
          <w:rtl/>
        </w:rPr>
        <w:footnoteReference w:customMarkFollows="1" w:id="430"/>
        <w:t>430</w:t>
      </w:r>
      <w:r>
        <w:rPr>
          <w:rFonts w:ascii="David" w:hAnsi="David" w:cs="David"/>
          <w:color w:val="000000"/>
          <w:sz w:val="24"/>
          <w:szCs w:val="24"/>
          <w:rtl/>
        </w:rPr>
        <w:t xml:space="preserve">. </w:t>
      </w:r>
    </w:p>
    <w:p w14:paraId="3218907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[שיעור המים]</w:t>
      </w:r>
    </w:p>
    <w:p w14:paraId="736A5E6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 לקידוש, צריך שיהא בהם שיעור כדי הזאה* - היינו השיעור שצריך שיהיה במים בשעה שטובלים בהם האזוב להזאה</w:t>
      </w:r>
      <w:r>
        <w:rPr>
          <w:rFonts w:ascii="David" w:hAnsi="David" w:cs="David"/>
          <w:color w:val="0000FF"/>
          <w:sz w:val="24"/>
          <w:szCs w:val="24"/>
          <w:vertAlign w:val="superscript"/>
          <w:rtl/>
        </w:rPr>
        <w:footnoteReference w:customMarkFollows="1" w:id="431"/>
        <w:t>431</w:t>
      </w:r>
      <w:r>
        <w:rPr>
          <w:rFonts w:ascii="David" w:hAnsi="David" w:cs="David"/>
          <w:color w:val="000000"/>
          <w:sz w:val="24"/>
          <w:szCs w:val="24"/>
          <w:rtl/>
        </w:rPr>
        <w:t>, על שיעור זה, ע"ע הזאה (ב)</w:t>
      </w:r>
      <w:r>
        <w:rPr>
          <w:rFonts w:ascii="David" w:hAnsi="David" w:cs="David"/>
          <w:color w:val="0000FF"/>
          <w:sz w:val="24"/>
          <w:szCs w:val="24"/>
          <w:vertAlign w:val="superscript"/>
          <w:rtl/>
        </w:rPr>
        <w:footnoteReference w:customMarkFollows="1" w:id="432"/>
        <w:t>432</w:t>
      </w:r>
      <w:r>
        <w:rPr>
          <w:rFonts w:ascii="David" w:hAnsi="David" w:cs="David"/>
          <w:color w:val="000000"/>
          <w:sz w:val="24"/>
          <w:szCs w:val="24"/>
          <w:rtl/>
        </w:rPr>
        <w:t xml:space="preserve"> - ואם קידש מים שאין בהם כדי הזאה, לא נתקדשו</w:t>
      </w:r>
      <w:r>
        <w:rPr>
          <w:rFonts w:ascii="David" w:hAnsi="David" w:cs="David"/>
          <w:color w:val="0000FF"/>
          <w:sz w:val="24"/>
          <w:szCs w:val="24"/>
          <w:vertAlign w:val="superscript"/>
          <w:rtl/>
        </w:rPr>
        <w:footnoteReference w:customMarkFollows="1" w:id="433"/>
        <w:t>433</w:t>
      </w:r>
      <w:r>
        <w:rPr>
          <w:rFonts w:ascii="David" w:hAnsi="David" w:cs="David"/>
          <w:color w:val="000000"/>
          <w:sz w:val="24"/>
          <w:szCs w:val="24"/>
          <w:rtl/>
        </w:rPr>
        <w:t>, שנאמר: ולקח אזוב וטבל במים איש טהור</w:t>
      </w:r>
      <w:r>
        <w:rPr>
          <w:rFonts w:ascii="David" w:hAnsi="David" w:cs="David"/>
          <w:color w:val="0000FF"/>
          <w:sz w:val="24"/>
          <w:szCs w:val="24"/>
          <w:vertAlign w:val="superscript"/>
          <w:rtl/>
        </w:rPr>
        <w:footnoteReference w:customMarkFollows="1" w:id="434"/>
        <w:t>434</w:t>
      </w:r>
      <w:r>
        <w:rPr>
          <w:rFonts w:ascii="David" w:hAnsi="David" w:cs="David"/>
          <w:color w:val="000000"/>
          <w:sz w:val="24"/>
          <w:szCs w:val="24"/>
          <w:rtl/>
        </w:rPr>
        <w:t>, נאמר במים - בפתח - משמע במים הנזכרים למעלה לענין קידוש, מכאן שצריך שיהא בשעת קידוש שיעור טבילת אזוב</w:t>
      </w:r>
      <w:r>
        <w:rPr>
          <w:rFonts w:ascii="David" w:hAnsi="David" w:cs="David"/>
          <w:color w:val="0000FF"/>
          <w:sz w:val="24"/>
          <w:szCs w:val="24"/>
          <w:vertAlign w:val="superscript"/>
          <w:rtl/>
        </w:rPr>
        <w:footnoteReference w:customMarkFollows="1" w:id="435"/>
        <w:t>435</w:t>
      </w:r>
      <w:r>
        <w:rPr>
          <w:rFonts w:ascii="David" w:hAnsi="David" w:cs="David"/>
          <w:color w:val="000000"/>
          <w:sz w:val="24"/>
          <w:szCs w:val="24"/>
          <w:rtl/>
        </w:rPr>
        <w:t>. ואף אם קידש פחות מכדי הזאה בכלי זה ופחות מכדי הזאה בכלי זה, לא נתקדשו</w:t>
      </w:r>
      <w:r>
        <w:rPr>
          <w:rFonts w:ascii="David" w:hAnsi="David" w:cs="David"/>
          <w:color w:val="0000FF"/>
          <w:sz w:val="24"/>
          <w:szCs w:val="24"/>
          <w:vertAlign w:val="superscript"/>
          <w:rtl/>
        </w:rPr>
        <w:footnoteReference w:customMarkFollows="1" w:id="436"/>
        <w:t>436</w:t>
      </w:r>
      <w:r>
        <w:rPr>
          <w:rFonts w:ascii="David" w:hAnsi="David" w:cs="David"/>
          <w:color w:val="000000"/>
          <w:sz w:val="24"/>
          <w:szCs w:val="24"/>
          <w:rtl/>
        </w:rPr>
        <w:t>, ואפילו חזר ועירבם לאחר הקידוש, כתבו ראשונים שלא נתקדשו</w:t>
      </w:r>
      <w:r>
        <w:rPr>
          <w:rFonts w:ascii="David" w:hAnsi="David" w:cs="David"/>
          <w:color w:val="0000FF"/>
          <w:sz w:val="24"/>
          <w:szCs w:val="24"/>
          <w:vertAlign w:val="superscript"/>
          <w:rtl/>
        </w:rPr>
        <w:footnoteReference w:customMarkFollows="1" w:id="437"/>
        <w:t>437</w:t>
      </w:r>
      <w:r>
        <w:rPr>
          <w:rFonts w:ascii="David" w:hAnsi="David" w:cs="David"/>
          <w:color w:val="000000"/>
          <w:sz w:val="24"/>
          <w:szCs w:val="24"/>
          <w:rtl/>
        </w:rPr>
        <w:t>, שהאפר שבכלי שהוא מערה ממנו אינו מקדש, שכן לא נתן אפר על כל המים, שהמים שבכלי שעירה ממנו, היו מעורבים כבר באפר, וניתנו עם האפר בבת אחת</w:t>
      </w:r>
      <w:r>
        <w:rPr>
          <w:rFonts w:ascii="David" w:hAnsi="David" w:cs="David"/>
          <w:color w:val="0000FF"/>
          <w:sz w:val="24"/>
          <w:szCs w:val="24"/>
          <w:vertAlign w:val="superscript"/>
          <w:rtl/>
        </w:rPr>
        <w:footnoteReference w:customMarkFollows="1" w:id="438"/>
        <w:t>438</w:t>
      </w:r>
      <w:r>
        <w:rPr>
          <w:rFonts w:ascii="David" w:hAnsi="David" w:cs="David"/>
          <w:color w:val="000000"/>
          <w:sz w:val="24"/>
          <w:szCs w:val="24"/>
          <w:rtl/>
        </w:rPr>
        <w:t>, ויש מן האחרונים שצידדו לומר, שאם חזר ועירבם אחר הקידוש, נתקדשו</w:t>
      </w:r>
      <w:r>
        <w:rPr>
          <w:rFonts w:ascii="David" w:hAnsi="David" w:cs="David"/>
          <w:color w:val="0000FF"/>
          <w:sz w:val="24"/>
          <w:szCs w:val="24"/>
          <w:vertAlign w:val="superscript"/>
          <w:rtl/>
        </w:rPr>
        <w:footnoteReference w:customMarkFollows="1" w:id="439"/>
        <w:t>439</w:t>
      </w:r>
      <w:r>
        <w:rPr>
          <w:rFonts w:ascii="David" w:hAnsi="David" w:cs="David"/>
          <w:color w:val="000000"/>
          <w:sz w:val="24"/>
          <w:szCs w:val="24"/>
          <w:rtl/>
        </w:rPr>
        <w:t>. קידש מים בכדי הזאה, ואחר כך נתמעטו ולא נשאר בהם כדי הזאה, כתבו אחרונים שהמים נשארו בקדושתם, ומוסיף עליהם מים - מקודשים</w:t>
      </w:r>
      <w:r>
        <w:rPr>
          <w:rFonts w:ascii="David" w:hAnsi="David" w:cs="David"/>
          <w:color w:val="0000FF"/>
          <w:sz w:val="24"/>
          <w:szCs w:val="24"/>
          <w:vertAlign w:val="superscript"/>
          <w:rtl/>
        </w:rPr>
        <w:footnoteReference w:customMarkFollows="1" w:id="440"/>
        <w:t>440</w:t>
      </w:r>
      <w:r>
        <w:rPr>
          <w:rFonts w:ascii="David" w:hAnsi="David" w:cs="David"/>
          <w:color w:val="000000"/>
          <w:sz w:val="24"/>
          <w:szCs w:val="24"/>
          <w:rtl/>
        </w:rPr>
        <w:t xml:space="preserve"> - אחרים עד שיהיה בהם כדי הזאה</w:t>
      </w:r>
      <w:r>
        <w:rPr>
          <w:rFonts w:ascii="David" w:hAnsi="David" w:cs="David"/>
          <w:color w:val="0000FF"/>
          <w:sz w:val="24"/>
          <w:szCs w:val="24"/>
          <w:vertAlign w:val="superscript"/>
          <w:rtl/>
        </w:rPr>
        <w:footnoteReference w:customMarkFollows="1" w:id="441"/>
        <w:t>441</w:t>
      </w:r>
      <w:r>
        <w:rPr>
          <w:rFonts w:ascii="David" w:hAnsi="David" w:cs="David"/>
          <w:color w:val="000000"/>
          <w:sz w:val="24"/>
          <w:szCs w:val="24"/>
          <w:rtl/>
        </w:rPr>
        <w:t xml:space="preserve">. </w:t>
      </w:r>
    </w:p>
    <w:p w14:paraId="52B53C7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[בכלי]</w:t>
      </w:r>
    </w:p>
    <w:p w14:paraId="0DDE469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אין מקדשים אלא בכלי</w:t>
      </w:r>
      <w:r>
        <w:rPr>
          <w:rFonts w:ascii="David" w:hAnsi="David" w:cs="David"/>
          <w:color w:val="0000FF"/>
          <w:sz w:val="24"/>
          <w:szCs w:val="24"/>
          <w:vertAlign w:val="superscript"/>
          <w:rtl/>
        </w:rPr>
        <w:footnoteReference w:customMarkFollows="1" w:id="442"/>
        <w:t>442</w:t>
      </w:r>
      <w:r>
        <w:rPr>
          <w:rFonts w:ascii="David" w:hAnsi="David" w:cs="David"/>
          <w:color w:val="000000"/>
          <w:sz w:val="24"/>
          <w:szCs w:val="24"/>
          <w:rtl/>
        </w:rPr>
        <w:t>, שנאמר: ונתן עליו מים חיים אל כלי</w:t>
      </w:r>
      <w:r>
        <w:rPr>
          <w:rFonts w:ascii="David" w:hAnsi="David" w:cs="David"/>
          <w:color w:val="0000FF"/>
          <w:sz w:val="24"/>
          <w:szCs w:val="24"/>
          <w:vertAlign w:val="superscript"/>
          <w:rtl/>
        </w:rPr>
        <w:footnoteReference w:customMarkFollows="1" w:id="443"/>
        <w:t>443</w:t>
      </w:r>
      <w:r>
        <w:rPr>
          <w:rFonts w:ascii="David" w:hAnsi="David" w:cs="David"/>
          <w:color w:val="000000"/>
          <w:sz w:val="24"/>
          <w:szCs w:val="24"/>
          <w:rtl/>
        </w:rPr>
        <w:t>, ומשמעות הכתוב אף לענין קידוש</w:t>
      </w:r>
      <w:r>
        <w:rPr>
          <w:rFonts w:ascii="David" w:hAnsi="David" w:cs="David"/>
          <w:color w:val="0000FF"/>
          <w:sz w:val="24"/>
          <w:szCs w:val="24"/>
          <w:vertAlign w:val="superscript"/>
          <w:rtl/>
        </w:rPr>
        <w:footnoteReference w:customMarkFollows="1" w:id="444"/>
        <w:t>444</w:t>
      </w:r>
      <w:r>
        <w:rPr>
          <w:rFonts w:ascii="David" w:hAnsi="David" w:cs="David"/>
          <w:color w:val="000000"/>
          <w:sz w:val="24"/>
          <w:szCs w:val="24"/>
          <w:rtl/>
        </w:rPr>
        <w:t xml:space="preserve">. כלי טמא, פסול </w:t>
      </w:r>
    </w:p>
    <w:p w14:paraId="234653F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לקידוש</w:t>
      </w:r>
      <w:r>
        <w:rPr>
          <w:rFonts w:ascii="David" w:hAnsi="David" w:cs="David"/>
          <w:color w:val="0000FF"/>
          <w:sz w:val="24"/>
          <w:szCs w:val="24"/>
          <w:vertAlign w:val="superscript"/>
          <w:rtl/>
        </w:rPr>
        <w:footnoteReference w:customMarkFollows="1" w:id="445"/>
        <w:t>445</w:t>
      </w:r>
      <w:r>
        <w:rPr>
          <w:rFonts w:ascii="David" w:hAnsi="David" w:cs="David"/>
          <w:color w:val="000000"/>
          <w:sz w:val="24"/>
          <w:szCs w:val="24"/>
          <w:rtl/>
        </w:rPr>
        <w:t>, על טעם הדבר, עי' לעיל: המילוי</w:t>
      </w:r>
      <w:r>
        <w:rPr>
          <w:rFonts w:ascii="David" w:hAnsi="David" w:cs="David"/>
          <w:color w:val="0000FF"/>
          <w:sz w:val="24"/>
          <w:szCs w:val="24"/>
          <w:vertAlign w:val="superscript"/>
          <w:rtl/>
        </w:rPr>
        <w:footnoteReference w:customMarkFollows="1" w:id="446"/>
        <w:t>446</w:t>
      </w:r>
      <w:r>
        <w:rPr>
          <w:rFonts w:ascii="David" w:hAnsi="David" w:cs="David"/>
          <w:color w:val="000000"/>
          <w:sz w:val="24"/>
          <w:szCs w:val="24"/>
          <w:rtl/>
        </w:rPr>
        <w:t>, ומכל מקום היו מטמאים את הכלי קודם הקידוש, וחוזרים ומטבילים אותו, כדי שיעשה הקידוש בכלי שהוא טבול-יום*, להיכר שטבול יום כשר בפרה</w:t>
      </w:r>
      <w:r>
        <w:rPr>
          <w:rFonts w:ascii="David" w:hAnsi="David" w:cs="David"/>
          <w:color w:val="0000FF"/>
          <w:sz w:val="24"/>
          <w:szCs w:val="24"/>
          <w:vertAlign w:val="superscript"/>
          <w:rtl/>
        </w:rPr>
        <w:footnoteReference w:customMarkFollows="1" w:id="447"/>
        <w:t>447</w:t>
      </w:r>
      <w:r>
        <w:rPr>
          <w:rFonts w:ascii="David" w:hAnsi="David" w:cs="David"/>
          <w:color w:val="000000"/>
          <w:sz w:val="24"/>
          <w:szCs w:val="24"/>
          <w:rtl/>
        </w:rPr>
        <w:t>, ויש סוברים שאין מטמאים אותו</w:t>
      </w:r>
      <w:r>
        <w:rPr>
          <w:rFonts w:ascii="David" w:hAnsi="David" w:cs="David"/>
          <w:color w:val="0000FF"/>
          <w:sz w:val="24"/>
          <w:szCs w:val="24"/>
          <w:vertAlign w:val="superscript"/>
          <w:rtl/>
        </w:rPr>
        <w:footnoteReference w:customMarkFollows="1" w:id="448"/>
        <w:t>448</w:t>
      </w:r>
      <w:r>
        <w:rPr>
          <w:rFonts w:ascii="David" w:hAnsi="David" w:cs="David"/>
          <w:color w:val="000000"/>
          <w:sz w:val="24"/>
          <w:szCs w:val="24"/>
          <w:rtl/>
        </w:rPr>
        <w:t>. על מיני הכלים הכשרים לקידוש, והריבוי שנתרבו לכך אפילו אותם שאינם חשובים כלים לענין קבלת טומאה - כגון כלי גללים</w:t>
      </w:r>
      <w:r>
        <w:rPr>
          <w:rFonts w:ascii="David" w:hAnsi="David" w:cs="David"/>
          <w:color w:val="0000FF"/>
          <w:sz w:val="24"/>
          <w:szCs w:val="24"/>
          <w:vertAlign w:val="superscript"/>
          <w:rtl/>
        </w:rPr>
        <w:footnoteReference w:customMarkFollows="1" w:id="449"/>
        <w:t>449</w:t>
      </w:r>
      <w:r>
        <w:rPr>
          <w:rFonts w:ascii="David" w:hAnsi="David" w:cs="David"/>
          <w:color w:val="000000"/>
          <w:sz w:val="24"/>
          <w:szCs w:val="24"/>
          <w:rtl/>
        </w:rPr>
        <w:t>, וכגון ספינה</w:t>
      </w:r>
      <w:r>
        <w:rPr>
          <w:rFonts w:ascii="David" w:hAnsi="David" w:cs="David"/>
          <w:color w:val="0000FF"/>
          <w:sz w:val="24"/>
          <w:szCs w:val="24"/>
          <w:vertAlign w:val="superscript"/>
          <w:rtl/>
        </w:rPr>
        <w:footnoteReference w:customMarkFollows="1" w:id="450"/>
        <w:t>450</w:t>
      </w:r>
      <w:r>
        <w:rPr>
          <w:rFonts w:ascii="David" w:hAnsi="David" w:cs="David"/>
          <w:color w:val="000000"/>
          <w:sz w:val="24"/>
          <w:szCs w:val="24"/>
          <w:rtl/>
        </w:rPr>
        <w:t xml:space="preserve"> - ע"ע כלים</w:t>
      </w:r>
      <w:r>
        <w:rPr>
          <w:rFonts w:ascii="David" w:hAnsi="David" w:cs="David"/>
          <w:color w:val="0000FF"/>
          <w:sz w:val="24"/>
          <w:szCs w:val="24"/>
          <w:vertAlign w:val="superscript"/>
          <w:rtl/>
        </w:rPr>
        <w:footnoteReference w:customMarkFollows="1" w:id="451"/>
        <w:t>451</w:t>
      </w:r>
      <w:r>
        <w:rPr>
          <w:rFonts w:ascii="David" w:hAnsi="David" w:cs="David"/>
          <w:color w:val="000000"/>
          <w:sz w:val="24"/>
          <w:szCs w:val="24"/>
          <w:rtl/>
        </w:rPr>
        <w:t>, על שברי כלים, אם כשרים לקידוש, ע"ע הנ"ל</w:t>
      </w:r>
      <w:r>
        <w:rPr>
          <w:rFonts w:ascii="David" w:hAnsi="David" w:cs="David"/>
          <w:color w:val="0000FF"/>
          <w:sz w:val="24"/>
          <w:szCs w:val="24"/>
          <w:vertAlign w:val="superscript"/>
          <w:rtl/>
        </w:rPr>
        <w:footnoteReference w:customMarkFollows="1" w:id="452"/>
        <w:t>452</w:t>
      </w:r>
      <w:r>
        <w:rPr>
          <w:rFonts w:ascii="David" w:hAnsi="David" w:cs="David"/>
          <w:color w:val="000000"/>
          <w:sz w:val="24"/>
          <w:szCs w:val="24"/>
          <w:rtl/>
        </w:rPr>
        <w:t>, על מיני כלים הפסולים בין לקידוש ובין לדינים אחרים התלוים בכלי, ע"ע הנ"ל</w:t>
      </w:r>
      <w:r>
        <w:rPr>
          <w:rFonts w:ascii="David" w:hAnsi="David" w:cs="David"/>
          <w:color w:val="0000FF"/>
          <w:sz w:val="24"/>
          <w:szCs w:val="24"/>
          <w:vertAlign w:val="superscript"/>
          <w:rtl/>
        </w:rPr>
        <w:footnoteReference w:customMarkFollows="1" w:id="453"/>
        <w:t>453</w:t>
      </w:r>
      <w:r>
        <w:rPr>
          <w:rFonts w:ascii="David" w:hAnsi="David" w:cs="David"/>
          <w:color w:val="000000"/>
          <w:sz w:val="24"/>
          <w:szCs w:val="24"/>
          <w:rtl/>
        </w:rPr>
        <w:t>. על שתי שקתות מים שהיו חצובות באבן אחת, וקידש אחת מהן, אם מתקדשת השניה, ובאילו אופנים, ועל המקדש בכלי רחב והיה כלי צר בתוכו, אם המים שבכלי הצר מתקדשים, ע"ע השקה</w:t>
      </w:r>
      <w:r>
        <w:rPr>
          <w:rFonts w:ascii="David" w:hAnsi="David" w:cs="David"/>
          <w:color w:val="0000FF"/>
          <w:sz w:val="24"/>
          <w:szCs w:val="24"/>
          <w:vertAlign w:val="superscript"/>
          <w:rtl/>
        </w:rPr>
        <w:footnoteReference w:customMarkFollows="1" w:id="454"/>
        <w:t>454</w:t>
      </w:r>
      <w:r>
        <w:rPr>
          <w:rFonts w:ascii="David" w:hAnsi="David" w:cs="David"/>
          <w:color w:val="000000"/>
          <w:sz w:val="24"/>
          <w:szCs w:val="24"/>
          <w:rtl/>
        </w:rPr>
        <w:t xml:space="preserve">. </w:t>
      </w:r>
    </w:p>
    <w:p w14:paraId="5C0FE70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[שיעור האפר]</w:t>
      </w:r>
    </w:p>
    <w:p w14:paraId="691F99A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האפר הניתן במים, שיעורו בכדי שיראה על פני המים</w:t>
      </w:r>
      <w:r>
        <w:rPr>
          <w:rFonts w:ascii="David" w:hAnsi="David" w:cs="David"/>
          <w:color w:val="0000FF"/>
          <w:sz w:val="24"/>
          <w:szCs w:val="24"/>
          <w:vertAlign w:val="superscript"/>
          <w:rtl/>
        </w:rPr>
        <w:footnoteReference w:customMarkFollows="1" w:id="455"/>
        <w:t>455</w:t>
      </w:r>
      <w:r>
        <w:rPr>
          <w:rFonts w:ascii="David" w:hAnsi="David" w:cs="David"/>
          <w:color w:val="000000"/>
          <w:sz w:val="24"/>
          <w:szCs w:val="24"/>
          <w:rtl/>
        </w:rPr>
        <w:t>, ולמדו הדבר ממי סוטה* - שלענין מי סוטה צריך שיתן על המים עפר מחצר המשכן, בכדי שיראה על פני המים</w:t>
      </w:r>
      <w:r>
        <w:rPr>
          <w:rFonts w:ascii="David" w:hAnsi="David" w:cs="David"/>
          <w:color w:val="0000FF"/>
          <w:sz w:val="24"/>
          <w:szCs w:val="24"/>
          <w:vertAlign w:val="superscript"/>
          <w:rtl/>
        </w:rPr>
        <w:footnoteReference w:customMarkFollows="1" w:id="456"/>
        <w:t>456</w:t>
      </w:r>
      <w:r>
        <w:rPr>
          <w:rFonts w:ascii="David" w:hAnsi="David" w:cs="David"/>
          <w:color w:val="000000"/>
          <w:sz w:val="24"/>
          <w:szCs w:val="24"/>
          <w:rtl/>
        </w:rPr>
        <w:t xml:space="preserve"> - והוא בכלל הגזרה-שוה* "עפר עפר" שלמדים מסוטה</w:t>
      </w:r>
      <w:r>
        <w:rPr>
          <w:rFonts w:ascii="David" w:hAnsi="David" w:cs="David"/>
          <w:color w:val="0000FF"/>
          <w:sz w:val="24"/>
          <w:szCs w:val="24"/>
          <w:vertAlign w:val="superscript"/>
          <w:rtl/>
        </w:rPr>
        <w:footnoteReference w:customMarkFollows="1" w:id="457"/>
        <w:t>457</w:t>
      </w:r>
      <w:r>
        <w:rPr>
          <w:rFonts w:ascii="David" w:hAnsi="David" w:cs="David"/>
          <w:color w:val="000000"/>
          <w:sz w:val="24"/>
          <w:szCs w:val="24"/>
          <w:rtl/>
        </w:rPr>
        <w:t>. בגדר שיעור "בכדי שיראה על פני המים", נסתפקו אחרונים, אם היינו שיראה האפר על פני כל המים, ולפיכך כשהמים מרובים צריך ליתן יותר אפר, או שאין צריך שיראה האפר על פני כל המים, אלא במקום הנחתו בלבד, ולפיכך אין חילוק בשיעורו של האפר בין מים מועטים למרובים</w:t>
      </w:r>
      <w:r>
        <w:rPr>
          <w:rFonts w:ascii="David" w:hAnsi="David" w:cs="David"/>
          <w:color w:val="0000FF"/>
          <w:sz w:val="24"/>
          <w:szCs w:val="24"/>
          <w:vertAlign w:val="superscript"/>
          <w:rtl/>
        </w:rPr>
        <w:footnoteReference w:customMarkFollows="1" w:id="458"/>
        <w:t>458</w:t>
      </w:r>
      <w:r>
        <w:rPr>
          <w:rFonts w:ascii="David" w:hAnsi="David" w:cs="David"/>
          <w:color w:val="000000"/>
          <w:sz w:val="24"/>
          <w:szCs w:val="24"/>
          <w:rtl/>
        </w:rPr>
        <w:t>. ויש מן האחרונים שכתבו, שלא נאמר שיעור שיראה על פני המים על שעת הנחתו של האפר במים, אלא על שעת עירובו במים</w:t>
      </w:r>
      <w:r>
        <w:rPr>
          <w:rFonts w:ascii="David" w:hAnsi="David" w:cs="David"/>
          <w:color w:val="0000FF"/>
          <w:sz w:val="24"/>
          <w:szCs w:val="24"/>
          <w:vertAlign w:val="superscript"/>
          <w:rtl/>
        </w:rPr>
        <w:footnoteReference w:customMarkFollows="1" w:id="459"/>
        <w:t>459</w:t>
      </w:r>
      <w:r>
        <w:rPr>
          <w:rFonts w:ascii="David" w:hAnsi="David" w:cs="David"/>
          <w:color w:val="000000"/>
          <w:sz w:val="24"/>
          <w:szCs w:val="24"/>
          <w:rtl/>
        </w:rPr>
        <w:t>, שאפילו לאחר עירובו, צריך שיראה על פני המים</w:t>
      </w:r>
      <w:r>
        <w:rPr>
          <w:rFonts w:ascii="David" w:hAnsi="David" w:cs="David"/>
          <w:color w:val="0000FF"/>
          <w:sz w:val="24"/>
          <w:szCs w:val="24"/>
          <w:vertAlign w:val="superscript"/>
          <w:rtl/>
        </w:rPr>
        <w:footnoteReference w:customMarkFollows="1" w:id="460"/>
        <w:t>460</w:t>
      </w:r>
      <w:r>
        <w:rPr>
          <w:rFonts w:ascii="David" w:hAnsi="David" w:cs="David"/>
          <w:color w:val="000000"/>
          <w:sz w:val="24"/>
          <w:szCs w:val="24"/>
          <w:rtl/>
        </w:rPr>
        <w:t>, ונסתפקו אם היינו שיתן כל כך אפר עד שיראה על פני המים מלמעלה</w:t>
      </w:r>
      <w:r>
        <w:rPr>
          <w:rFonts w:ascii="David" w:hAnsi="David" w:cs="David"/>
          <w:color w:val="0000FF"/>
          <w:sz w:val="24"/>
          <w:szCs w:val="24"/>
          <w:vertAlign w:val="superscript"/>
          <w:rtl/>
        </w:rPr>
        <w:footnoteReference w:customMarkFollows="1" w:id="461"/>
        <w:t>461</w:t>
      </w:r>
      <w:r>
        <w:rPr>
          <w:rFonts w:ascii="David" w:hAnsi="David" w:cs="David"/>
          <w:color w:val="000000"/>
          <w:sz w:val="24"/>
          <w:szCs w:val="24"/>
          <w:rtl/>
        </w:rPr>
        <w:t xml:space="preserve">, או שיראה </w:t>
      </w:r>
    </w:p>
    <w:p w14:paraId="7C56F49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כל פנים בתחתית הכלי, ולא יהיה כל כך מועט עד שיאבד במיעוטו ולא יראנו עוד אפילו בתחתיתו</w:t>
      </w:r>
      <w:r>
        <w:rPr>
          <w:rFonts w:ascii="David" w:hAnsi="David" w:cs="David"/>
          <w:color w:val="0000FF"/>
          <w:sz w:val="24"/>
          <w:szCs w:val="24"/>
          <w:vertAlign w:val="superscript"/>
          <w:rtl/>
        </w:rPr>
        <w:footnoteReference w:customMarkFollows="1" w:id="462"/>
        <w:t>462</w:t>
      </w:r>
      <w:r>
        <w:rPr>
          <w:rFonts w:ascii="David" w:hAnsi="David" w:cs="David"/>
          <w:color w:val="000000"/>
          <w:sz w:val="24"/>
          <w:szCs w:val="24"/>
          <w:rtl/>
        </w:rPr>
        <w:t xml:space="preserve">. </w:t>
      </w:r>
    </w:p>
    <w:p w14:paraId="2EF1F29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[לקיחת האפר]</w:t>
      </w:r>
    </w:p>
    <w:p w14:paraId="12F350A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הנותן את האפר במים, יש מן הראשונים והאחרונים סוברים שצריך שיקחנו בידו קודם לכן, שנאמר: ולקחו לטמא מעפר שרפת החטאת</w:t>
      </w:r>
      <w:r>
        <w:rPr>
          <w:rFonts w:ascii="David" w:hAnsi="David" w:cs="David"/>
          <w:color w:val="0000FF"/>
          <w:sz w:val="24"/>
          <w:szCs w:val="24"/>
          <w:vertAlign w:val="superscript"/>
          <w:rtl/>
        </w:rPr>
        <w:footnoteReference w:customMarkFollows="1" w:id="463"/>
        <w:t>463</w:t>
      </w:r>
      <w:r>
        <w:rPr>
          <w:rFonts w:ascii="David" w:hAnsi="David" w:cs="David"/>
          <w:color w:val="000000"/>
          <w:sz w:val="24"/>
          <w:szCs w:val="24"/>
          <w:rtl/>
        </w:rPr>
        <w:t>, ולדעתם, אם היה האפר מונח על גבי דבר אחר, וגיררו בידו אל תוך המים, נתינתו פסולה</w:t>
      </w:r>
      <w:r>
        <w:rPr>
          <w:rFonts w:ascii="David" w:hAnsi="David" w:cs="David"/>
          <w:color w:val="0000FF"/>
          <w:sz w:val="24"/>
          <w:szCs w:val="24"/>
          <w:vertAlign w:val="superscript"/>
          <w:rtl/>
        </w:rPr>
        <w:footnoteReference w:customMarkFollows="1" w:id="464"/>
        <w:t>464</w:t>
      </w:r>
      <w:r>
        <w:rPr>
          <w:rFonts w:ascii="David" w:hAnsi="David" w:cs="David"/>
          <w:color w:val="000000"/>
          <w:sz w:val="24"/>
          <w:szCs w:val="24"/>
          <w:rtl/>
        </w:rPr>
        <w:t>. אבל אין צריך שתיעשה הלקיחה על ידי נותן האפר עצמו, אלא אפילו לקחו אחד בידו, ונתנו אחר על גבי המים, כשר</w:t>
      </w:r>
      <w:r>
        <w:rPr>
          <w:rFonts w:ascii="David" w:hAnsi="David" w:cs="David"/>
          <w:color w:val="0000FF"/>
          <w:sz w:val="24"/>
          <w:szCs w:val="24"/>
          <w:vertAlign w:val="superscript"/>
          <w:rtl/>
        </w:rPr>
        <w:footnoteReference w:customMarkFollows="1" w:id="465"/>
        <w:t>465</w:t>
      </w:r>
      <w:r>
        <w:rPr>
          <w:rFonts w:ascii="David" w:hAnsi="David" w:cs="David"/>
          <w:color w:val="000000"/>
          <w:sz w:val="24"/>
          <w:szCs w:val="24"/>
          <w:rtl/>
        </w:rPr>
        <w:t xml:space="preserve"> - והיינו אפילו היה האפר מונח ביד הראשון, וגיררו השני מידו אל תוך המים, שאם לקח השני מיד הראשון, הרי הלקיחה והנתינה נעשו שניהם על ידי השני</w:t>
      </w:r>
      <w:r>
        <w:rPr>
          <w:rFonts w:ascii="David" w:hAnsi="David" w:cs="David"/>
          <w:color w:val="0000FF"/>
          <w:sz w:val="24"/>
          <w:szCs w:val="24"/>
          <w:vertAlign w:val="superscript"/>
          <w:rtl/>
        </w:rPr>
        <w:footnoteReference w:customMarkFollows="1" w:id="466"/>
        <w:t>466</w:t>
      </w:r>
      <w:r>
        <w:rPr>
          <w:rFonts w:ascii="David" w:hAnsi="David" w:cs="David"/>
          <w:color w:val="000000"/>
          <w:sz w:val="24"/>
          <w:szCs w:val="24"/>
          <w:rtl/>
        </w:rPr>
        <w:t xml:space="preserve"> - ובלבד שיקחנו הראשון מתחילה על מנת שיתננו הוא או אחר על המים, שהלקיחה בלא נתינה אינה מועילה, לפי שאין מצוה בלקיחת האפר, אלא תנאי בנתינה שתיעשה על ידי לקיחה, וגזירת הכתוב שהנתינה מועילה כשהיתה על ידי לקיחת אחר בשביל ליתנה</w:t>
      </w:r>
      <w:r>
        <w:rPr>
          <w:rFonts w:ascii="David" w:hAnsi="David" w:cs="David"/>
          <w:color w:val="0000FF"/>
          <w:sz w:val="24"/>
          <w:szCs w:val="24"/>
          <w:vertAlign w:val="superscript"/>
          <w:rtl/>
        </w:rPr>
        <w:footnoteReference w:customMarkFollows="1" w:id="467"/>
        <w:t>467</w:t>
      </w:r>
      <w:r>
        <w:rPr>
          <w:rFonts w:ascii="David" w:hAnsi="David" w:cs="David"/>
          <w:color w:val="000000"/>
          <w:sz w:val="24"/>
          <w:szCs w:val="24"/>
          <w:rtl/>
        </w:rPr>
        <w:t>. על לקיחה זו, אם צריך שתהא לקיחה תמה כנטילת-לולב*, ע"ע לקיחה</w:t>
      </w:r>
      <w:r>
        <w:rPr>
          <w:rFonts w:ascii="David" w:hAnsi="David" w:cs="David"/>
          <w:color w:val="0000FF"/>
          <w:sz w:val="24"/>
          <w:szCs w:val="24"/>
          <w:vertAlign w:val="superscript"/>
          <w:rtl/>
        </w:rPr>
        <w:footnoteReference w:customMarkFollows="1" w:id="468"/>
        <w:t>468</w:t>
      </w:r>
      <w:r>
        <w:rPr>
          <w:rFonts w:ascii="David" w:hAnsi="David" w:cs="David"/>
          <w:color w:val="000000"/>
          <w:sz w:val="24"/>
          <w:szCs w:val="24"/>
          <w:rtl/>
        </w:rPr>
        <w:t>, על דינה כשהיתה הלקיחה לקיחה-על-ידי-דבר-אחר*, ע"ע</w:t>
      </w:r>
      <w:r>
        <w:rPr>
          <w:rFonts w:ascii="David" w:hAnsi="David" w:cs="David"/>
          <w:color w:val="0000FF"/>
          <w:sz w:val="24"/>
          <w:szCs w:val="24"/>
          <w:vertAlign w:val="superscript"/>
          <w:rtl/>
        </w:rPr>
        <w:footnoteReference w:customMarkFollows="1" w:id="469"/>
        <w:t>469</w:t>
      </w:r>
      <w:r>
        <w:rPr>
          <w:rFonts w:ascii="David" w:hAnsi="David" w:cs="David"/>
          <w:color w:val="000000"/>
          <w:sz w:val="24"/>
          <w:szCs w:val="24"/>
          <w:rtl/>
        </w:rPr>
        <w:t>. ויש שכתבו בדעת ראשונים שהם חולקים וסוברים שאין צריך שיקח האפר בידו קודם הנתינה</w:t>
      </w:r>
      <w:r>
        <w:rPr>
          <w:rFonts w:ascii="David" w:hAnsi="David" w:cs="David"/>
          <w:color w:val="0000FF"/>
          <w:sz w:val="24"/>
          <w:szCs w:val="24"/>
          <w:vertAlign w:val="superscript"/>
          <w:rtl/>
        </w:rPr>
        <w:footnoteReference w:customMarkFollows="1" w:id="470"/>
        <w:t>470</w:t>
      </w:r>
      <w:r>
        <w:rPr>
          <w:rFonts w:ascii="David" w:hAnsi="David" w:cs="David"/>
          <w:color w:val="000000"/>
          <w:sz w:val="24"/>
          <w:szCs w:val="24"/>
          <w:rtl/>
        </w:rPr>
        <w:t>, וזה שנאמר "ולקחו", אין פירושו לקיחה ביד, אלא כל הטיפול באפר קרוי לקיחה</w:t>
      </w:r>
      <w:r>
        <w:rPr>
          <w:rFonts w:ascii="David" w:hAnsi="David" w:cs="David"/>
          <w:color w:val="0000FF"/>
          <w:sz w:val="24"/>
          <w:szCs w:val="24"/>
          <w:vertAlign w:val="superscript"/>
          <w:rtl/>
        </w:rPr>
        <w:footnoteReference w:customMarkFollows="1" w:id="471"/>
        <w:t>471</w:t>
      </w:r>
      <w:r>
        <w:rPr>
          <w:rFonts w:ascii="David" w:hAnsi="David" w:cs="David"/>
          <w:color w:val="000000"/>
          <w:sz w:val="24"/>
          <w:szCs w:val="24"/>
          <w:rtl/>
        </w:rPr>
        <w:t xml:space="preserve">. </w:t>
      </w:r>
    </w:p>
    <w:p w14:paraId="1B6A2EC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[מכח אדם]</w:t>
      </w:r>
    </w:p>
    <w:p w14:paraId="5391316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נתינת האפר במים צריך שתהא מכח אדם</w:t>
      </w:r>
      <w:r>
        <w:rPr>
          <w:rFonts w:ascii="David" w:hAnsi="David" w:cs="David"/>
          <w:color w:val="0000FF"/>
          <w:sz w:val="24"/>
          <w:szCs w:val="24"/>
          <w:vertAlign w:val="superscript"/>
          <w:rtl/>
        </w:rPr>
        <w:footnoteReference w:customMarkFollows="1" w:id="472"/>
        <w:t>472</w:t>
      </w:r>
      <w:r>
        <w:rPr>
          <w:rFonts w:ascii="David" w:hAnsi="David" w:cs="David"/>
          <w:color w:val="000000"/>
          <w:sz w:val="24"/>
          <w:szCs w:val="24"/>
          <w:rtl/>
        </w:rPr>
        <w:t>, לפי שנאמר: ולקחו</w:t>
      </w:r>
      <w:r>
        <w:rPr>
          <w:rFonts w:ascii="David" w:hAnsi="David" w:cs="David"/>
          <w:color w:val="0000FF"/>
          <w:sz w:val="24"/>
          <w:szCs w:val="24"/>
          <w:vertAlign w:val="superscript"/>
          <w:rtl/>
        </w:rPr>
        <w:footnoteReference w:customMarkFollows="1" w:id="473"/>
        <w:t>473</w:t>
      </w:r>
      <w:r>
        <w:rPr>
          <w:rFonts w:ascii="David" w:hAnsi="David" w:cs="David"/>
          <w:color w:val="000000"/>
          <w:sz w:val="24"/>
          <w:szCs w:val="24"/>
          <w:rtl/>
        </w:rPr>
        <w:t>, ונתן</w:t>
      </w:r>
      <w:r>
        <w:rPr>
          <w:rFonts w:ascii="David" w:hAnsi="David" w:cs="David"/>
          <w:color w:val="0000FF"/>
          <w:sz w:val="24"/>
          <w:szCs w:val="24"/>
          <w:vertAlign w:val="superscript"/>
          <w:rtl/>
        </w:rPr>
        <w:footnoteReference w:customMarkFollows="1" w:id="474"/>
        <w:t>474</w:t>
      </w:r>
      <w:r>
        <w:rPr>
          <w:rFonts w:ascii="David" w:hAnsi="David" w:cs="David"/>
          <w:color w:val="000000"/>
          <w:sz w:val="24"/>
          <w:szCs w:val="24"/>
          <w:rtl/>
        </w:rPr>
        <w:t>, מכח האדם משמע</w:t>
      </w:r>
      <w:r>
        <w:rPr>
          <w:rFonts w:ascii="David" w:hAnsi="David" w:cs="David"/>
          <w:color w:val="0000FF"/>
          <w:sz w:val="24"/>
          <w:szCs w:val="24"/>
          <w:vertAlign w:val="superscript"/>
          <w:rtl/>
        </w:rPr>
        <w:footnoteReference w:customMarkFollows="1" w:id="475"/>
        <w:t>475</w:t>
      </w:r>
      <w:r>
        <w:rPr>
          <w:rFonts w:ascii="David" w:hAnsi="David" w:cs="David"/>
          <w:color w:val="000000"/>
          <w:sz w:val="24"/>
          <w:szCs w:val="24"/>
          <w:rtl/>
        </w:rPr>
        <w:t>. ומטעם זה שנינו: המקדש ונפל הקידוש על ידו או על הצד - על שפת דופן השוקת</w:t>
      </w:r>
      <w:r>
        <w:rPr>
          <w:rFonts w:ascii="David" w:hAnsi="David" w:cs="David"/>
          <w:color w:val="0000FF"/>
          <w:sz w:val="24"/>
          <w:szCs w:val="24"/>
          <w:vertAlign w:val="superscript"/>
          <w:rtl/>
        </w:rPr>
        <w:footnoteReference w:customMarkFollows="1" w:id="476"/>
        <w:t>476</w:t>
      </w:r>
      <w:r>
        <w:rPr>
          <w:rFonts w:ascii="David" w:hAnsi="David" w:cs="David"/>
          <w:color w:val="000000"/>
          <w:sz w:val="24"/>
          <w:szCs w:val="24"/>
          <w:rtl/>
        </w:rPr>
        <w:t xml:space="preserve"> - ואחר כך נפל על השוקת, פסול</w:t>
      </w:r>
      <w:r>
        <w:rPr>
          <w:rFonts w:ascii="David" w:hAnsi="David" w:cs="David"/>
          <w:color w:val="0000FF"/>
          <w:sz w:val="24"/>
          <w:szCs w:val="24"/>
          <w:vertAlign w:val="superscript"/>
          <w:rtl/>
        </w:rPr>
        <w:footnoteReference w:customMarkFollows="1" w:id="477"/>
        <w:t>477</w:t>
      </w:r>
      <w:r>
        <w:rPr>
          <w:rFonts w:ascii="David" w:hAnsi="David" w:cs="David"/>
          <w:color w:val="000000"/>
          <w:sz w:val="24"/>
          <w:szCs w:val="24"/>
          <w:rtl/>
        </w:rPr>
        <w:t>, שלא היה הקידוש מכחו*</w:t>
      </w:r>
      <w:r>
        <w:rPr>
          <w:rFonts w:ascii="David" w:hAnsi="David" w:cs="David"/>
          <w:color w:val="0000FF"/>
          <w:sz w:val="24"/>
          <w:szCs w:val="24"/>
          <w:vertAlign w:val="superscript"/>
          <w:rtl/>
        </w:rPr>
        <w:footnoteReference w:customMarkFollows="1" w:id="478"/>
        <w:t>478</w:t>
      </w:r>
      <w:r>
        <w:rPr>
          <w:rFonts w:ascii="David" w:hAnsi="David" w:cs="David"/>
          <w:color w:val="000000"/>
          <w:sz w:val="24"/>
          <w:szCs w:val="24"/>
          <w:rtl/>
        </w:rPr>
        <w:t>, שלא ניתן האפר מכח נפילה ראשונה, אלא מעצמו חוזר ושותת מידו או מן הצד לשוקת</w:t>
      </w:r>
      <w:r>
        <w:rPr>
          <w:rFonts w:ascii="David" w:hAnsi="David" w:cs="David"/>
          <w:color w:val="0000FF"/>
          <w:sz w:val="24"/>
          <w:szCs w:val="24"/>
          <w:vertAlign w:val="superscript"/>
          <w:rtl/>
        </w:rPr>
        <w:footnoteReference w:customMarkFollows="1" w:id="479"/>
        <w:t>479</w:t>
      </w:r>
      <w:r>
        <w:rPr>
          <w:rFonts w:ascii="David" w:hAnsi="David" w:cs="David"/>
          <w:color w:val="000000"/>
          <w:sz w:val="24"/>
          <w:szCs w:val="24"/>
          <w:rtl/>
        </w:rPr>
        <w:t>. ויש מן הראשונים שכתבו, שמטעם זה שנינו: נפל משפופרת לשוקת, פסול</w:t>
      </w:r>
      <w:r>
        <w:rPr>
          <w:rFonts w:ascii="David" w:hAnsi="David" w:cs="David"/>
          <w:color w:val="0000FF"/>
          <w:sz w:val="24"/>
          <w:szCs w:val="24"/>
          <w:vertAlign w:val="superscript"/>
          <w:rtl/>
        </w:rPr>
        <w:footnoteReference w:customMarkFollows="1" w:id="480"/>
        <w:t>480</w:t>
      </w:r>
      <w:r>
        <w:rPr>
          <w:rFonts w:ascii="David" w:hAnsi="David" w:cs="David"/>
          <w:color w:val="000000"/>
          <w:sz w:val="24"/>
          <w:szCs w:val="24"/>
          <w:rtl/>
        </w:rPr>
        <w:t>, שהיינו כשנפל מאליו, שלא מכח האדם</w:t>
      </w:r>
      <w:r>
        <w:rPr>
          <w:rFonts w:ascii="David" w:hAnsi="David" w:cs="David"/>
          <w:color w:val="0000FF"/>
          <w:sz w:val="24"/>
          <w:szCs w:val="24"/>
          <w:vertAlign w:val="superscript"/>
          <w:rtl/>
        </w:rPr>
        <w:footnoteReference w:customMarkFollows="1" w:id="481"/>
        <w:t>481</w:t>
      </w:r>
      <w:r>
        <w:rPr>
          <w:rFonts w:ascii="David" w:hAnsi="David" w:cs="David"/>
          <w:color w:val="000000"/>
          <w:sz w:val="24"/>
          <w:szCs w:val="24"/>
          <w:rtl/>
        </w:rPr>
        <w:t xml:space="preserve">. ויש מן הראשונים שנראה מדבריהם, שאפילו נפל האפר מכח מעשיו, אלא שלא היה מתכוין שיפול, כגון שנטל אפר מן השפופרת ליתנו במים, ובין כה נפל מאליו </w:t>
      </w:r>
    </w:p>
    <w:p w14:paraId="0422181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האפר שלא במתכוין, הרי זה כנפילה שלא מכחו, ופסול</w:t>
      </w:r>
      <w:r>
        <w:rPr>
          <w:rFonts w:ascii="David" w:hAnsi="David" w:cs="David"/>
          <w:color w:val="0000FF"/>
          <w:sz w:val="24"/>
          <w:szCs w:val="24"/>
          <w:vertAlign w:val="superscript"/>
          <w:rtl/>
        </w:rPr>
        <w:footnoteReference w:customMarkFollows="1" w:id="482"/>
        <w:t>482</w:t>
      </w:r>
      <w:r>
        <w:rPr>
          <w:rFonts w:ascii="David" w:hAnsi="David" w:cs="David"/>
          <w:color w:val="000000"/>
          <w:sz w:val="24"/>
          <w:szCs w:val="24"/>
          <w:rtl/>
        </w:rPr>
        <w:t>, על טעם אחר שנתינה בלא כוונה פסולה, עי' להלן</w:t>
      </w:r>
      <w:r>
        <w:rPr>
          <w:rFonts w:ascii="David" w:hAnsi="David" w:cs="David"/>
          <w:color w:val="0000FF"/>
          <w:sz w:val="24"/>
          <w:szCs w:val="24"/>
          <w:vertAlign w:val="superscript"/>
          <w:rtl/>
        </w:rPr>
        <w:footnoteReference w:customMarkFollows="1" w:id="483"/>
        <w:t>483</w:t>
      </w:r>
      <w:r>
        <w:rPr>
          <w:rFonts w:ascii="David" w:hAnsi="David" w:cs="David"/>
          <w:color w:val="000000"/>
          <w:sz w:val="24"/>
          <w:szCs w:val="24"/>
          <w:rtl/>
        </w:rPr>
        <w:t>. על אופנים שונים שביאת האפר למים נגרמה על ידי האדם, אם חשובה נתינה מכחו, ע"ע כחו</w:t>
      </w:r>
      <w:r>
        <w:rPr>
          <w:rFonts w:ascii="David" w:hAnsi="David" w:cs="David"/>
          <w:color w:val="0000FF"/>
          <w:sz w:val="24"/>
          <w:szCs w:val="24"/>
          <w:vertAlign w:val="superscript"/>
          <w:rtl/>
        </w:rPr>
        <w:footnoteReference w:customMarkFollows="1" w:id="484"/>
        <w:t>484</w:t>
      </w:r>
      <w:r>
        <w:rPr>
          <w:rFonts w:ascii="David" w:hAnsi="David" w:cs="David"/>
          <w:color w:val="000000"/>
          <w:sz w:val="24"/>
          <w:szCs w:val="24"/>
          <w:rtl/>
        </w:rPr>
        <w:t xml:space="preserve">. </w:t>
      </w:r>
    </w:p>
    <w:p w14:paraId="2B02D6A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[הנתינה]</w:t>
      </w:r>
    </w:p>
    <w:p w14:paraId="26F1127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אין צריך שיתן את האפר במים בידו, ואף נתינה בגופו מועילה</w:t>
      </w:r>
      <w:r>
        <w:rPr>
          <w:rFonts w:ascii="David" w:hAnsi="David" w:cs="David"/>
          <w:color w:val="0000FF"/>
          <w:sz w:val="24"/>
          <w:szCs w:val="24"/>
          <w:vertAlign w:val="superscript"/>
          <w:rtl/>
        </w:rPr>
        <w:footnoteReference w:customMarkFollows="1" w:id="485"/>
        <w:t>485</w:t>
      </w:r>
      <w:r>
        <w:rPr>
          <w:rFonts w:ascii="David" w:hAnsi="David" w:cs="David"/>
          <w:color w:val="000000"/>
          <w:sz w:val="24"/>
          <w:szCs w:val="24"/>
          <w:rtl/>
        </w:rPr>
        <w:t>. ואין צריך שיתנו אדם אחד לבדו, אלא אף אם נותנים שנים יחד כשר</w:t>
      </w:r>
      <w:r>
        <w:rPr>
          <w:rFonts w:ascii="David" w:hAnsi="David" w:cs="David"/>
          <w:color w:val="0000FF"/>
          <w:sz w:val="24"/>
          <w:szCs w:val="24"/>
          <w:vertAlign w:val="superscript"/>
          <w:rtl/>
        </w:rPr>
        <w:footnoteReference w:customMarkFollows="1" w:id="486"/>
        <w:t>486</w:t>
      </w:r>
      <w:r>
        <w:rPr>
          <w:rFonts w:ascii="David" w:hAnsi="David" w:cs="David"/>
          <w:color w:val="000000"/>
          <w:sz w:val="24"/>
          <w:szCs w:val="24"/>
          <w:rtl/>
        </w:rPr>
        <w:t>. ואין צריך שיתן את האפר במים, ולפיכך לסוברים שאין צריך שיקח האפר בידו קודם הנתינה</w:t>
      </w:r>
      <w:r>
        <w:rPr>
          <w:rFonts w:ascii="David" w:hAnsi="David" w:cs="David"/>
          <w:color w:val="0000FF"/>
          <w:sz w:val="24"/>
          <w:szCs w:val="24"/>
          <w:vertAlign w:val="superscript"/>
          <w:rtl/>
        </w:rPr>
        <w:footnoteReference w:customMarkFollows="1" w:id="487"/>
        <w:t>487</w:t>
      </w:r>
      <w:r>
        <w:rPr>
          <w:rFonts w:ascii="David" w:hAnsi="David" w:cs="David"/>
          <w:color w:val="000000"/>
          <w:sz w:val="24"/>
          <w:szCs w:val="24"/>
          <w:rtl/>
        </w:rPr>
        <w:t>, אפילו היה האפר מונח על גבי דופן השוקת, וגיררו בידו אל תוך המים, כשר</w:t>
      </w:r>
      <w:r>
        <w:rPr>
          <w:rFonts w:ascii="David" w:hAnsi="David" w:cs="David"/>
          <w:color w:val="0000FF"/>
          <w:sz w:val="24"/>
          <w:szCs w:val="24"/>
          <w:vertAlign w:val="superscript"/>
          <w:rtl/>
        </w:rPr>
        <w:footnoteReference w:customMarkFollows="1" w:id="488"/>
        <w:t>488</w:t>
      </w:r>
      <w:r>
        <w:rPr>
          <w:rFonts w:ascii="David" w:hAnsi="David" w:cs="David"/>
          <w:color w:val="000000"/>
          <w:sz w:val="24"/>
          <w:szCs w:val="24"/>
          <w:rtl/>
        </w:rPr>
        <w:t>. ואף אם היה האפר נתון בשפופרת, והפילו מן השפופרת לשוקת - שלא אחז באפר עצמו, אלא אחז בשפופרת ונערה לתוך השוקת</w:t>
      </w:r>
      <w:r>
        <w:rPr>
          <w:rFonts w:ascii="David" w:hAnsi="David" w:cs="David"/>
          <w:color w:val="0000FF"/>
          <w:sz w:val="24"/>
          <w:szCs w:val="24"/>
          <w:vertAlign w:val="superscript"/>
          <w:rtl/>
        </w:rPr>
        <w:footnoteReference w:customMarkFollows="1" w:id="489"/>
        <w:t>489</w:t>
      </w:r>
      <w:r>
        <w:rPr>
          <w:rFonts w:ascii="David" w:hAnsi="David" w:cs="David"/>
          <w:color w:val="000000"/>
          <w:sz w:val="24"/>
          <w:szCs w:val="24"/>
          <w:rtl/>
        </w:rPr>
        <w:t xml:space="preserve"> - כשר</w:t>
      </w:r>
      <w:r>
        <w:rPr>
          <w:rFonts w:ascii="David" w:hAnsi="David" w:cs="David"/>
          <w:color w:val="0000FF"/>
          <w:sz w:val="24"/>
          <w:szCs w:val="24"/>
          <w:vertAlign w:val="superscript"/>
          <w:rtl/>
        </w:rPr>
        <w:footnoteReference w:customMarkFollows="1" w:id="490"/>
        <w:t>490</w:t>
      </w:r>
      <w:r>
        <w:rPr>
          <w:rFonts w:ascii="David" w:hAnsi="David" w:cs="David"/>
          <w:color w:val="000000"/>
          <w:sz w:val="24"/>
          <w:szCs w:val="24"/>
          <w:rtl/>
        </w:rPr>
        <w:t>, אף על פי שנאמר בו "ולקחו", "ונתן" - ולשון נתינה משמע שאוחז בגוף הדבר</w:t>
      </w:r>
      <w:r>
        <w:rPr>
          <w:rFonts w:ascii="David" w:hAnsi="David" w:cs="David"/>
          <w:color w:val="0000FF"/>
          <w:sz w:val="24"/>
          <w:szCs w:val="24"/>
          <w:vertAlign w:val="superscript"/>
          <w:rtl/>
        </w:rPr>
        <w:footnoteReference w:customMarkFollows="1" w:id="491"/>
        <w:t>491</w:t>
      </w:r>
      <w:r>
        <w:rPr>
          <w:rFonts w:ascii="David" w:hAnsi="David" w:cs="David"/>
          <w:color w:val="000000"/>
          <w:sz w:val="24"/>
          <w:szCs w:val="24"/>
          <w:rtl/>
        </w:rPr>
        <w:t xml:space="preserve"> - שכשם שלקיחה-על-ידי-דבר-אחר* חשובה לקיחה, כך נתינה על ידי דבר אחר חשובה נתינה</w:t>
      </w:r>
      <w:r>
        <w:rPr>
          <w:rFonts w:ascii="David" w:hAnsi="David" w:cs="David"/>
          <w:color w:val="0000FF"/>
          <w:sz w:val="24"/>
          <w:szCs w:val="24"/>
          <w:vertAlign w:val="superscript"/>
          <w:rtl/>
        </w:rPr>
        <w:footnoteReference w:customMarkFollows="1" w:id="492"/>
        <w:t>492</w:t>
      </w:r>
      <w:r>
        <w:rPr>
          <w:rFonts w:ascii="David" w:hAnsi="David" w:cs="David"/>
          <w:color w:val="000000"/>
          <w:sz w:val="24"/>
          <w:szCs w:val="24"/>
          <w:rtl/>
        </w:rPr>
        <w:t>. על המחלוקת אם מכל מקום לכתחילה צריך שיתן האפר במים שלא על ידי דבר אחר, ע"ע לקיחה על ידי דבר אחר</w:t>
      </w:r>
      <w:r>
        <w:rPr>
          <w:rFonts w:ascii="David" w:hAnsi="David" w:cs="David"/>
          <w:color w:val="0000FF"/>
          <w:sz w:val="24"/>
          <w:szCs w:val="24"/>
          <w:vertAlign w:val="superscript"/>
          <w:rtl/>
        </w:rPr>
        <w:footnoteReference w:customMarkFollows="1" w:id="493"/>
        <w:t>493</w:t>
      </w:r>
      <w:r>
        <w:rPr>
          <w:rFonts w:ascii="David" w:hAnsi="David" w:cs="David"/>
          <w:color w:val="000000"/>
          <w:sz w:val="24"/>
          <w:szCs w:val="24"/>
          <w:rtl/>
        </w:rPr>
        <w:t xml:space="preserve">. </w:t>
      </w:r>
    </w:p>
    <w:p w14:paraId="095E449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[כוונת הקידוש]</w:t>
      </w:r>
    </w:p>
    <w:p w14:paraId="007AE54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הקידוש, צריך שיהא בכוונה לשם מי חטאת</w:t>
      </w:r>
      <w:r>
        <w:rPr>
          <w:rFonts w:ascii="David" w:hAnsi="David" w:cs="David"/>
          <w:color w:val="0000FF"/>
          <w:sz w:val="24"/>
          <w:szCs w:val="24"/>
          <w:vertAlign w:val="superscript"/>
          <w:rtl/>
        </w:rPr>
        <w:footnoteReference w:customMarkFollows="1" w:id="494"/>
        <w:t>494</w:t>
      </w:r>
      <w:r>
        <w:rPr>
          <w:rFonts w:ascii="David" w:hAnsi="David" w:cs="David"/>
          <w:color w:val="000000"/>
          <w:sz w:val="24"/>
          <w:szCs w:val="24"/>
          <w:rtl/>
        </w:rPr>
        <w:t>. וכתבו אחרונים, שמטעם זה שנינו בתוספתא: היה עומד ומקדש, והרתיע או שעף או שדחאו חבירו או שדחאתו הרוח - וכל אלו לא נתכוונו לקדש</w:t>
      </w:r>
      <w:r>
        <w:rPr>
          <w:rFonts w:ascii="David" w:hAnsi="David" w:cs="David"/>
          <w:color w:val="0000FF"/>
          <w:sz w:val="24"/>
          <w:szCs w:val="24"/>
          <w:vertAlign w:val="superscript"/>
          <w:rtl/>
        </w:rPr>
        <w:footnoteReference w:customMarkFollows="1" w:id="495"/>
        <w:t>495</w:t>
      </w:r>
      <w:r>
        <w:rPr>
          <w:rFonts w:ascii="David" w:hAnsi="David" w:cs="David"/>
          <w:color w:val="000000"/>
          <w:sz w:val="24"/>
          <w:szCs w:val="24"/>
          <w:rtl/>
        </w:rPr>
        <w:t xml:space="preserve"> - ובא אחר וקידש - כלומר, או בא אחר וקידש שלא בכוונה לקדש</w:t>
      </w:r>
      <w:r>
        <w:rPr>
          <w:rFonts w:ascii="David" w:hAnsi="David" w:cs="David"/>
          <w:color w:val="0000FF"/>
          <w:sz w:val="24"/>
          <w:szCs w:val="24"/>
          <w:vertAlign w:val="superscript"/>
          <w:rtl/>
        </w:rPr>
        <w:footnoteReference w:customMarkFollows="1" w:id="496"/>
        <w:t>496</w:t>
      </w:r>
      <w:r>
        <w:rPr>
          <w:rFonts w:ascii="David" w:hAnsi="David" w:cs="David"/>
          <w:color w:val="000000"/>
          <w:sz w:val="24"/>
          <w:szCs w:val="24"/>
          <w:rtl/>
        </w:rPr>
        <w:t xml:space="preserve"> - הרי זה פסול, שנאמר: ולקחו לטמא</w:t>
      </w:r>
      <w:r>
        <w:rPr>
          <w:rFonts w:ascii="David" w:hAnsi="David" w:cs="David"/>
          <w:color w:val="0000FF"/>
          <w:sz w:val="24"/>
          <w:szCs w:val="24"/>
          <w:vertAlign w:val="superscript"/>
          <w:rtl/>
        </w:rPr>
        <w:footnoteReference w:customMarkFollows="1" w:id="497"/>
        <w:t>497</w:t>
      </w:r>
      <w:r>
        <w:rPr>
          <w:rFonts w:ascii="David" w:hAnsi="David" w:cs="David"/>
          <w:color w:val="000000"/>
          <w:sz w:val="24"/>
          <w:szCs w:val="24"/>
          <w:rtl/>
        </w:rPr>
        <w:t>, עד שיהא מתכוין למילוי לקידוש ולהזאה*</w:t>
      </w:r>
      <w:r>
        <w:rPr>
          <w:rFonts w:ascii="David" w:hAnsi="David" w:cs="David"/>
          <w:color w:val="0000FF"/>
          <w:sz w:val="24"/>
          <w:szCs w:val="24"/>
          <w:vertAlign w:val="superscript"/>
          <w:rtl/>
        </w:rPr>
        <w:footnoteReference w:customMarkFollows="1" w:id="498"/>
        <w:t>498</w:t>
      </w:r>
      <w:r>
        <w:rPr>
          <w:rFonts w:ascii="David" w:hAnsi="David" w:cs="David"/>
          <w:color w:val="000000"/>
          <w:sz w:val="24"/>
          <w:szCs w:val="24"/>
          <w:rtl/>
        </w:rPr>
        <w:t>, שהכתוב "ולקחו לטמא", לשם טהרת הטמא משמע</w:t>
      </w:r>
      <w:r>
        <w:rPr>
          <w:rFonts w:ascii="David" w:hAnsi="David" w:cs="David"/>
          <w:color w:val="0000FF"/>
          <w:sz w:val="24"/>
          <w:szCs w:val="24"/>
          <w:vertAlign w:val="superscript"/>
          <w:rtl/>
        </w:rPr>
        <w:footnoteReference w:customMarkFollows="1" w:id="499"/>
        <w:t>499</w:t>
      </w:r>
      <w:r>
        <w:rPr>
          <w:rFonts w:ascii="David" w:hAnsi="David" w:cs="David"/>
          <w:color w:val="000000"/>
          <w:sz w:val="24"/>
          <w:szCs w:val="24"/>
          <w:rtl/>
        </w:rPr>
        <w:t>. ויש מן האחרונים שכתבו, שהדין שיהיה הקידוש לשמה, בכלל מה ששנינו בספרי זוטא: חטאת</w:t>
      </w:r>
      <w:r>
        <w:rPr>
          <w:rFonts w:ascii="David" w:hAnsi="David" w:cs="David"/>
          <w:color w:val="0000FF"/>
          <w:sz w:val="24"/>
          <w:szCs w:val="24"/>
          <w:vertAlign w:val="superscript"/>
          <w:rtl/>
        </w:rPr>
        <w:footnoteReference w:customMarkFollows="1" w:id="500"/>
        <w:t>500</w:t>
      </w:r>
      <w:r>
        <w:rPr>
          <w:rFonts w:ascii="David" w:hAnsi="David" w:cs="David"/>
          <w:color w:val="000000"/>
          <w:sz w:val="24"/>
          <w:szCs w:val="24"/>
          <w:rtl/>
        </w:rPr>
        <w:t xml:space="preserve">, שיהיו כל מעשיה לשם חטאת, יכול אם לא היו מעשיה לשם חטאת תהא כשרה, </w:t>
      </w:r>
    </w:p>
    <w:p w14:paraId="05BB592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תלמוד לומר: היא</w:t>
      </w:r>
      <w:r>
        <w:rPr>
          <w:rFonts w:ascii="David" w:hAnsi="David" w:cs="David"/>
          <w:color w:val="0000FF"/>
          <w:sz w:val="24"/>
          <w:szCs w:val="24"/>
          <w:vertAlign w:val="superscript"/>
          <w:rtl/>
        </w:rPr>
        <w:footnoteReference w:customMarkFollows="1" w:id="501"/>
        <w:t>501</w:t>
      </w:r>
      <w:r>
        <w:rPr>
          <w:rFonts w:ascii="David" w:hAnsi="David" w:cs="David"/>
          <w:color w:val="000000"/>
          <w:sz w:val="24"/>
          <w:szCs w:val="24"/>
          <w:rtl/>
        </w:rPr>
        <w:t>, ש"היא" משמעותו לעכב</w:t>
      </w:r>
      <w:r>
        <w:rPr>
          <w:rFonts w:ascii="David" w:hAnsi="David" w:cs="David"/>
          <w:color w:val="0000FF"/>
          <w:sz w:val="24"/>
          <w:szCs w:val="24"/>
          <w:vertAlign w:val="superscript"/>
          <w:rtl/>
        </w:rPr>
        <w:footnoteReference w:customMarkFollows="1" w:id="502"/>
        <w:t>502</w:t>
      </w:r>
      <w:r>
        <w:rPr>
          <w:rFonts w:ascii="David" w:hAnsi="David" w:cs="David"/>
          <w:color w:val="000000"/>
          <w:sz w:val="24"/>
          <w:szCs w:val="24"/>
          <w:rtl/>
        </w:rPr>
        <w:t>. ואף אותה ששנינו לדעת ר' ישמעאל בנו של ר' יוחנן בן ברוקה, שחרש-שוטה-וקטן* המקדשים את המים, צריך שיהיו אחרים רואים אותם</w:t>
      </w:r>
      <w:r>
        <w:rPr>
          <w:rFonts w:ascii="David" w:hAnsi="David" w:cs="David"/>
          <w:color w:val="0000FF"/>
          <w:sz w:val="24"/>
          <w:szCs w:val="24"/>
          <w:vertAlign w:val="superscript"/>
          <w:rtl/>
        </w:rPr>
        <w:footnoteReference w:customMarkFollows="1" w:id="503"/>
        <w:t>503</w:t>
      </w:r>
      <w:r>
        <w:rPr>
          <w:rFonts w:ascii="David" w:hAnsi="David" w:cs="David"/>
          <w:color w:val="000000"/>
          <w:sz w:val="24"/>
          <w:szCs w:val="24"/>
          <w:rtl/>
        </w:rPr>
        <w:t>, יש מן האחרונים שכתבו, שהיינו כדי שילמדו אותם לעשות את הקידוש לשמה</w:t>
      </w:r>
      <w:r>
        <w:rPr>
          <w:rFonts w:ascii="David" w:hAnsi="David" w:cs="David"/>
          <w:color w:val="0000FF"/>
          <w:sz w:val="24"/>
          <w:szCs w:val="24"/>
          <w:vertAlign w:val="superscript"/>
          <w:rtl/>
        </w:rPr>
        <w:footnoteReference w:customMarkFollows="1" w:id="504"/>
        <w:t>504</w:t>
      </w:r>
      <w:r>
        <w:rPr>
          <w:rFonts w:ascii="David" w:hAnsi="David" w:cs="David"/>
          <w:color w:val="000000"/>
          <w:sz w:val="24"/>
          <w:szCs w:val="24"/>
          <w:rtl/>
        </w:rPr>
        <w:t>, שלדעתו חרש שוטה וקטן אינם פסולים בעצם לקידוש, ואינם פסולים אלא כשאין אחרים רואים אותם, ומשום חסרון כוונה</w:t>
      </w:r>
      <w:r>
        <w:rPr>
          <w:rFonts w:ascii="David" w:hAnsi="David" w:cs="David"/>
          <w:color w:val="0000FF"/>
          <w:sz w:val="24"/>
          <w:szCs w:val="24"/>
          <w:vertAlign w:val="superscript"/>
          <w:rtl/>
        </w:rPr>
        <w:footnoteReference w:customMarkFollows="1" w:id="505"/>
        <w:t>505</w:t>
      </w:r>
      <w:r>
        <w:rPr>
          <w:rFonts w:ascii="David" w:hAnsi="David" w:cs="David"/>
          <w:color w:val="000000"/>
          <w:sz w:val="24"/>
          <w:szCs w:val="24"/>
          <w:rtl/>
        </w:rPr>
        <w:t>, על הסוברים שמטעם אחר צריך שיהיו אחרים רואים אותם, ועל התנאים הסוברים שפסלה אותם תורה מצד עצמם, ולפיכך קידושם פסול אפילו אחרים רואים אותם, ועל הסוברים שקידוש קטן חשוב קידוש, ואם הוא בכל קטן, עי' להלן</w:t>
      </w:r>
      <w:r>
        <w:rPr>
          <w:rFonts w:ascii="David" w:hAnsi="David" w:cs="David"/>
          <w:color w:val="0000FF"/>
          <w:sz w:val="24"/>
          <w:szCs w:val="24"/>
          <w:vertAlign w:val="superscript"/>
          <w:rtl/>
        </w:rPr>
        <w:footnoteReference w:customMarkFollows="1" w:id="506"/>
        <w:t>506</w:t>
      </w:r>
      <w:r>
        <w:rPr>
          <w:rFonts w:ascii="David" w:hAnsi="David" w:cs="David"/>
          <w:color w:val="000000"/>
          <w:sz w:val="24"/>
          <w:szCs w:val="24"/>
          <w:rtl/>
        </w:rPr>
        <w:t xml:space="preserve">. </w:t>
      </w:r>
    </w:p>
    <w:p w14:paraId="7F58A82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[נתן אחד מים ואחד אפר]</w:t>
      </w:r>
    </w:p>
    <w:p w14:paraId="0738BEB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המקדש, כתבו ראשונים שאין צריך שיהיה אותו שמילא מים לקידוש, אלא אפילו מילא אחד המים ואחד נתן האפר, כשר</w:t>
      </w:r>
      <w:r>
        <w:rPr>
          <w:rFonts w:ascii="David" w:hAnsi="David" w:cs="David"/>
          <w:color w:val="0000FF"/>
          <w:sz w:val="24"/>
          <w:szCs w:val="24"/>
          <w:vertAlign w:val="superscript"/>
          <w:rtl/>
        </w:rPr>
        <w:footnoteReference w:customMarkFollows="1" w:id="507"/>
        <w:t>507</w:t>
      </w:r>
      <w:r>
        <w:rPr>
          <w:rFonts w:ascii="David" w:hAnsi="David" w:cs="David"/>
          <w:color w:val="000000"/>
          <w:sz w:val="24"/>
          <w:szCs w:val="24"/>
          <w:rtl/>
        </w:rPr>
        <w:t>, ולדעתם זהו שדרשו: ולקחו</w:t>
      </w:r>
      <w:r>
        <w:rPr>
          <w:rFonts w:ascii="David" w:hAnsi="David" w:cs="David"/>
          <w:color w:val="0000FF"/>
          <w:sz w:val="24"/>
          <w:szCs w:val="24"/>
          <w:vertAlign w:val="superscript"/>
          <w:rtl/>
        </w:rPr>
        <w:footnoteReference w:customMarkFollows="1" w:id="508"/>
        <w:t>508</w:t>
      </w:r>
      <w:r>
        <w:rPr>
          <w:rFonts w:ascii="David" w:hAnsi="David" w:cs="David"/>
          <w:color w:val="000000"/>
          <w:sz w:val="24"/>
          <w:szCs w:val="24"/>
          <w:rtl/>
        </w:rPr>
        <w:t xml:space="preserve"> - לשון רבים - אפילו לקח אחד ונתן אחד</w:t>
      </w:r>
      <w:r>
        <w:rPr>
          <w:rFonts w:ascii="David" w:hAnsi="David" w:cs="David"/>
          <w:color w:val="0000FF"/>
          <w:sz w:val="24"/>
          <w:szCs w:val="24"/>
          <w:vertAlign w:val="superscript"/>
          <w:rtl/>
        </w:rPr>
        <w:footnoteReference w:customMarkFollows="1" w:id="509"/>
        <w:t>509</w:t>
      </w:r>
      <w:r>
        <w:rPr>
          <w:rFonts w:ascii="David" w:hAnsi="David" w:cs="David"/>
          <w:color w:val="000000"/>
          <w:sz w:val="24"/>
          <w:szCs w:val="24"/>
          <w:rtl/>
        </w:rPr>
        <w:t>, שהיינו, מילא אחד את המים ונתן אחר את האפר</w:t>
      </w:r>
      <w:r>
        <w:rPr>
          <w:rFonts w:ascii="David" w:hAnsi="David" w:cs="David"/>
          <w:color w:val="0000FF"/>
          <w:sz w:val="24"/>
          <w:szCs w:val="24"/>
          <w:vertAlign w:val="superscript"/>
          <w:rtl/>
        </w:rPr>
        <w:footnoteReference w:customMarkFollows="1" w:id="510"/>
        <w:t>510</w:t>
      </w:r>
      <w:r>
        <w:rPr>
          <w:rFonts w:ascii="David" w:hAnsi="David" w:cs="David"/>
          <w:color w:val="000000"/>
          <w:sz w:val="24"/>
          <w:szCs w:val="24"/>
          <w:rtl/>
        </w:rPr>
        <w:t>. על המפרשים דרשה זו באופן אחר, עי' לעיל ולהלן</w:t>
      </w:r>
      <w:r>
        <w:rPr>
          <w:rFonts w:ascii="David" w:hAnsi="David" w:cs="David"/>
          <w:color w:val="0000FF"/>
          <w:sz w:val="24"/>
          <w:szCs w:val="24"/>
          <w:vertAlign w:val="superscript"/>
          <w:rtl/>
        </w:rPr>
        <w:footnoteReference w:customMarkFollows="1" w:id="511"/>
        <w:t>511</w:t>
      </w:r>
      <w:r>
        <w:rPr>
          <w:rFonts w:ascii="David" w:hAnsi="David" w:cs="David"/>
          <w:color w:val="000000"/>
          <w:sz w:val="24"/>
          <w:szCs w:val="24"/>
          <w:rtl/>
        </w:rPr>
        <w:t xml:space="preserve">. </w:t>
      </w:r>
    </w:p>
    <w:p w14:paraId="26F9508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[חציצה]</w:t>
      </w:r>
    </w:p>
    <w:p w14:paraId="4592B03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חציצה בין האפר למים, יש מן האחרונים שכתבו בדעת ראשונים שהיא פוסלת, שצריך שינתן האפר על המים</w:t>
      </w:r>
      <w:r>
        <w:rPr>
          <w:rFonts w:ascii="David" w:hAnsi="David" w:cs="David"/>
          <w:color w:val="0000FF"/>
          <w:sz w:val="24"/>
          <w:szCs w:val="24"/>
          <w:vertAlign w:val="superscript"/>
          <w:rtl/>
        </w:rPr>
        <w:footnoteReference w:customMarkFollows="1" w:id="512"/>
        <w:t>512</w:t>
      </w:r>
      <w:r>
        <w:rPr>
          <w:rFonts w:ascii="David" w:hAnsi="David" w:cs="David"/>
          <w:color w:val="000000"/>
          <w:sz w:val="24"/>
          <w:szCs w:val="24"/>
          <w:rtl/>
        </w:rPr>
        <w:t>. על אפר שהיה רטוב מפני שנגע במים אחרים קודם קידוש, שיש שצידדו לומר שהוא פסול לקידוש, מפני שהמים שעליו חוצצים, עי' להלן</w:t>
      </w:r>
      <w:r>
        <w:rPr>
          <w:rFonts w:ascii="David" w:hAnsi="David" w:cs="David"/>
          <w:color w:val="0000FF"/>
          <w:sz w:val="24"/>
          <w:szCs w:val="24"/>
          <w:vertAlign w:val="superscript"/>
          <w:rtl/>
        </w:rPr>
        <w:footnoteReference w:customMarkFollows="1" w:id="513"/>
        <w:t>513</w:t>
      </w:r>
      <w:r>
        <w:rPr>
          <w:rFonts w:ascii="David" w:hAnsi="David" w:cs="David"/>
          <w:color w:val="000000"/>
          <w:sz w:val="24"/>
          <w:szCs w:val="24"/>
          <w:rtl/>
        </w:rPr>
        <w:t xml:space="preserve">. </w:t>
      </w:r>
    </w:p>
    <w:p w14:paraId="277F2D2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[עירוב האפר במים]</w:t>
      </w:r>
    </w:p>
    <w:p w14:paraId="54F3548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המקדש צריך לערב האפר במים</w:t>
      </w:r>
      <w:r>
        <w:rPr>
          <w:rFonts w:ascii="David" w:hAnsi="David" w:cs="David"/>
          <w:color w:val="0000FF"/>
          <w:sz w:val="24"/>
          <w:szCs w:val="24"/>
          <w:vertAlign w:val="superscript"/>
          <w:rtl/>
        </w:rPr>
        <w:footnoteReference w:customMarkFollows="1" w:id="514"/>
        <w:t>514</w:t>
      </w:r>
      <w:r>
        <w:rPr>
          <w:rFonts w:ascii="David" w:hAnsi="David" w:cs="David"/>
          <w:color w:val="000000"/>
          <w:sz w:val="24"/>
          <w:szCs w:val="24"/>
          <w:rtl/>
        </w:rPr>
        <w:t>, והיינו, שלאחר שנתן האפר אל המים, צריך להפך המים עליו ולערבם</w:t>
      </w:r>
      <w:r>
        <w:rPr>
          <w:rFonts w:ascii="David" w:hAnsi="David" w:cs="David"/>
          <w:color w:val="0000FF"/>
          <w:sz w:val="24"/>
          <w:szCs w:val="24"/>
          <w:vertAlign w:val="superscript"/>
          <w:rtl/>
        </w:rPr>
        <w:footnoteReference w:customMarkFollows="1" w:id="515"/>
        <w:t>515</w:t>
      </w:r>
      <w:r>
        <w:rPr>
          <w:rFonts w:ascii="David" w:hAnsi="David" w:cs="David"/>
          <w:color w:val="000000"/>
          <w:sz w:val="24"/>
          <w:szCs w:val="24"/>
          <w:rtl/>
        </w:rPr>
        <w:t>, עד שיהיו המים צפים על האפר</w:t>
      </w:r>
      <w:r>
        <w:rPr>
          <w:rFonts w:ascii="David" w:hAnsi="David" w:cs="David"/>
          <w:color w:val="0000FF"/>
          <w:sz w:val="24"/>
          <w:szCs w:val="24"/>
          <w:vertAlign w:val="superscript"/>
          <w:rtl/>
        </w:rPr>
        <w:footnoteReference w:customMarkFollows="1" w:id="516"/>
        <w:t>516</w:t>
      </w:r>
      <w:r>
        <w:rPr>
          <w:rFonts w:ascii="David" w:hAnsi="David" w:cs="David"/>
          <w:color w:val="000000"/>
          <w:sz w:val="24"/>
          <w:szCs w:val="24"/>
          <w:rtl/>
        </w:rPr>
        <w:t xml:space="preserve"> - אבל אין צריך שיערב את כל המים</w:t>
      </w:r>
      <w:r>
        <w:rPr>
          <w:rFonts w:ascii="David" w:hAnsi="David" w:cs="David"/>
          <w:color w:val="0000FF"/>
          <w:sz w:val="24"/>
          <w:szCs w:val="24"/>
          <w:vertAlign w:val="superscript"/>
          <w:rtl/>
        </w:rPr>
        <w:footnoteReference w:customMarkFollows="1" w:id="517"/>
        <w:t>517</w:t>
      </w:r>
      <w:r>
        <w:rPr>
          <w:rFonts w:ascii="David" w:hAnsi="David" w:cs="David"/>
          <w:color w:val="000000"/>
          <w:sz w:val="24"/>
          <w:szCs w:val="24"/>
          <w:rtl/>
        </w:rPr>
        <w:t xml:space="preserve"> - שנאמר: ולקחו לטמא מעפר וגו' ונתן עליו מים</w:t>
      </w:r>
      <w:r>
        <w:rPr>
          <w:rFonts w:ascii="David" w:hAnsi="David" w:cs="David"/>
          <w:color w:val="0000FF"/>
          <w:sz w:val="24"/>
          <w:szCs w:val="24"/>
          <w:vertAlign w:val="superscript"/>
          <w:rtl/>
        </w:rPr>
        <w:footnoteReference w:customMarkFollows="1" w:id="518"/>
        <w:t>518</w:t>
      </w:r>
      <w:r>
        <w:rPr>
          <w:rFonts w:ascii="David" w:hAnsi="David" w:cs="David"/>
          <w:color w:val="000000"/>
          <w:sz w:val="24"/>
          <w:szCs w:val="24"/>
          <w:rtl/>
        </w:rPr>
        <w:t>, וכיון שכבר למדנו - לדעת חכמים - שצריך שיהיו המים בכלי תחילה, והאפר על גביהם</w:t>
      </w:r>
      <w:r>
        <w:rPr>
          <w:rFonts w:ascii="David" w:hAnsi="David" w:cs="David"/>
          <w:color w:val="0000FF"/>
          <w:sz w:val="24"/>
          <w:szCs w:val="24"/>
          <w:vertAlign w:val="superscript"/>
          <w:rtl/>
        </w:rPr>
        <w:footnoteReference w:customMarkFollows="1" w:id="519"/>
        <w:t>519</w:t>
      </w:r>
      <w:r>
        <w:rPr>
          <w:rFonts w:ascii="David" w:hAnsi="David" w:cs="David"/>
          <w:color w:val="000000"/>
          <w:sz w:val="24"/>
          <w:szCs w:val="24"/>
          <w:rtl/>
        </w:rPr>
        <w:t xml:space="preserve"> - על טעם הדבר עי' לעיל</w:t>
      </w:r>
      <w:r>
        <w:rPr>
          <w:rFonts w:ascii="David" w:hAnsi="David" w:cs="David"/>
          <w:color w:val="0000FF"/>
          <w:sz w:val="24"/>
          <w:szCs w:val="24"/>
          <w:vertAlign w:val="superscript"/>
          <w:rtl/>
        </w:rPr>
        <w:footnoteReference w:customMarkFollows="1" w:id="520"/>
        <w:t>520</w:t>
      </w:r>
      <w:r>
        <w:rPr>
          <w:rFonts w:ascii="David" w:hAnsi="David" w:cs="David"/>
          <w:color w:val="000000"/>
          <w:sz w:val="24"/>
          <w:szCs w:val="24"/>
          <w:rtl/>
        </w:rPr>
        <w:t xml:space="preserve"> - לא נאמר "ונתן עליו" אלא ללמד </w:t>
      </w:r>
    </w:p>
    <w:p w14:paraId="15FFB84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שלאחר מתן האפר צריך להפך המים עליו ולערבם</w:t>
      </w:r>
      <w:r>
        <w:rPr>
          <w:rFonts w:ascii="David" w:hAnsi="David" w:cs="David"/>
          <w:color w:val="0000FF"/>
          <w:sz w:val="24"/>
          <w:szCs w:val="24"/>
          <w:vertAlign w:val="superscript"/>
          <w:rtl/>
        </w:rPr>
        <w:footnoteReference w:customMarkFollows="1" w:id="521"/>
        <w:t>521</w:t>
      </w:r>
      <w:r>
        <w:rPr>
          <w:rFonts w:ascii="David" w:hAnsi="David" w:cs="David"/>
          <w:color w:val="000000"/>
          <w:sz w:val="24"/>
          <w:szCs w:val="24"/>
          <w:rtl/>
        </w:rPr>
        <w:t>, ונמצא שהמים הם עתה מעל האפר</w:t>
      </w:r>
      <w:r>
        <w:rPr>
          <w:rFonts w:ascii="David" w:hAnsi="David" w:cs="David"/>
          <w:color w:val="0000FF"/>
          <w:sz w:val="24"/>
          <w:szCs w:val="24"/>
          <w:vertAlign w:val="superscript"/>
          <w:rtl/>
        </w:rPr>
        <w:footnoteReference w:customMarkFollows="1" w:id="522"/>
        <w:t>522</w:t>
      </w:r>
      <w:r>
        <w:rPr>
          <w:rFonts w:ascii="David" w:hAnsi="David" w:cs="David"/>
          <w:color w:val="000000"/>
          <w:sz w:val="24"/>
          <w:szCs w:val="24"/>
          <w:rtl/>
        </w:rPr>
        <w:t>, שאף היפוך המים על האפר קרוי נתינה</w:t>
      </w:r>
      <w:r>
        <w:rPr>
          <w:rFonts w:ascii="David" w:hAnsi="David" w:cs="David"/>
          <w:color w:val="0000FF"/>
          <w:sz w:val="24"/>
          <w:szCs w:val="24"/>
          <w:vertAlign w:val="superscript"/>
          <w:rtl/>
        </w:rPr>
        <w:footnoteReference w:customMarkFollows="1" w:id="523"/>
        <w:t>523</w:t>
      </w:r>
      <w:r>
        <w:rPr>
          <w:rFonts w:ascii="David" w:hAnsi="David" w:cs="David"/>
          <w:color w:val="000000"/>
          <w:sz w:val="24"/>
          <w:szCs w:val="24"/>
          <w:rtl/>
        </w:rPr>
        <w:t>. ולדעת ר' שמעון הדורש מן הכתוב "ונתן עליו" שאם הקדים אפר למים, כשר</w:t>
      </w:r>
      <w:r>
        <w:rPr>
          <w:rFonts w:ascii="David" w:hAnsi="David" w:cs="David"/>
          <w:color w:val="0000FF"/>
          <w:sz w:val="24"/>
          <w:szCs w:val="24"/>
          <w:vertAlign w:val="superscript"/>
          <w:rtl/>
        </w:rPr>
        <w:footnoteReference w:customMarkFollows="1" w:id="524"/>
        <w:t>524</w:t>
      </w:r>
      <w:r>
        <w:rPr>
          <w:rFonts w:ascii="David" w:hAnsi="David" w:cs="David"/>
          <w:color w:val="000000"/>
          <w:sz w:val="24"/>
          <w:szCs w:val="24"/>
          <w:rtl/>
        </w:rPr>
        <w:t>, כתבו אחרונים שאין צריך לערב האפר במים</w:t>
      </w:r>
      <w:r>
        <w:rPr>
          <w:rFonts w:ascii="David" w:hAnsi="David" w:cs="David"/>
          <w:color w:val="0000FF"/>
          <w:sz w:val="24"/>
          <w:szCs w:val="24"/>
          <w:vertAlign w:val="superscript"/>
          <w:rtl/>
        </w:rPr>
        <w:footnoteReference w:customMarkFollows="1" w:id="525"/>
        <w:t>525</w:t>
      </w:r>
      <w:r>
        <w:rPr>
          <w:rFonts w:ascii="David" w:hAnsi="David" w:cs="David"/>
          <w:color w:val="000000"/>
          <w:sz w:val="24"/>
          <w:szCs w:val="24"/>
          <w:rtl/>
        </w:rPr>
        <w:t>. וכתבו ראשונים ואחרונים, שאין המקדש עצמו צריך לערב, אלא אפילו אחד מקדש ואחר מערב</w:t>
      </w:r>
      <w:r>
        <w:rPr>
          <w:rFonts w:ascii="David" w:hAnsi="David" w:cs="David"/>
          <w:color w:val="0000FF"/>
          <w:sz w:val="24"/>
          <w:szCs w:val="24"/>
          <w:vertAlign w:val="superscript"/>
          <w:rtl/>
        </w:rPr>
        <w:footnoteReference w:customMarkFollows="1" w:id="526"/>
        <w:t>526</w:t>
      </w:r>
      <w:r>
        <w:rPr>
          <w:rFonts w:ascii="David" w:hAnsi="David" w:cs="David"/>
          <w:color w:val="000000"/>
          <w:sz w:val="24"/>
          <w:szCs w:val="24"/>
          <w:rtl/>
        </w:rPr>
        <w:t>, ואין אומרים שהואיל ונתינת האפר למים ותערובתם עבודה אחת הם, אי אפשר שתיעשה בשני אנשים</w:t>
      </w:r>
      <w:r>
        <w:rPr>
          <w:rFonts w:ascii="David" w:hAnsi="David" w:cs="David"/>
          <w:color w:val="0000FF"/>
          <w:sz w:val="24"/>
          <w:szCs w:val="24"/>
          <w:vertAlign w:val="superscript"/>
          <w:rtl/>
        </w:rPr>
        <w:footnoteReference w:customMarkFollows="1" w:id="527"/>
        <w:t>527</w:t>
      </w:r>
      <w:r>
        <w:rPr>
          <w:rFonts w:ascii="David" w:hAnsi="David" w:cs="David"/>
          <w:color w:val="000000"/>
          <w:sz w:val="24"/>
          <w:szCs w:val="24"/>
          <w:rtl/>
        </w:rPr>
        <w:t>, ולדעתם זהו שדרשו: "ולקחו" - לשון רבים - אפילו לקח אחד ונתן אחר</w:t>
      </w:r>
      <w:r>
        <w:rPr>
          <w:rFonts w:ascii="David" w:hAnsi="David" w:cs="David"/>
          <w:color w:val="0000FF"/>
          <w:sz w:val="24"/>
          <w:szCs w:val="24"/>
          <w:vertAlign w:val="superscript"/>
          <w:rtl/>
        </w:rPr>
        <w:footnoteReference w:customMarkFollows="1" w:id="528"/>
        <w:t>528</w:t>
      </w:r>
      <w:r>
        <w:rPr>
          <w:rFonts w:ascii="David" w:hAnsi="David" w:cs="David"/>
          <w:color w:val="000000"/>
          <w:sz w:val="24"/>
          <w:szCs w:val="24"/>
          <w:rtl/>
        </w:rPr>
        <w:t>, שהיינו, לקח אחד האפר ונתנו על המים, ועירבו אחר במים</w:t>
      </w:r>
      <w:r>
        <w:rPr>
          <w:rFonts w:ascii="David" w:hAnsi="David" w:cs="David"/>
          <w:color w:val="0000FF"/>
          <w:sz w:val="24"/>
          <w:szCs w:val="24"/>
          <w:vertAlign w:val="superscript"/>
          <w:rtl/>
        </w:rPr>
        <w:footnoteReference w:customMarkFollows="1" w:id="529"/>
        <w:t>529</w:t>
      </w:r>
      <w:r>
        <w:rPr>
          <w:rFonts w:ascii="David" w:hAnsi="David" w:cs="David"/>
          <w:color w:val="000000"/>
          <w:sz w:val="24"/>
          <w:szCs w:val="24"/>
          <w:rtl/>
        </w:rPr>
        <w:t>, על המפרשים דרשה זו באופן אחר, עי' לעיל</w:t>
      </w:r>
      <w:r>
        <w:rPr>
          <w:rFonts w:ascii="David" w:hAnsi="David" w:cs="David"/>
          <w:color w:val="0000FF"/>
          <w:sz w:val="24"/>
          <w:szCs w:val="24"/>
          <w:vertAlign w:val="superscript"/>
          <w:rtl/>
        </w:rPr>
        <w:footnoteReference w:customMarkFollows="1" w:id="530"/>
        <w:t>530</w:t>
      </w:r>
      <w:r>
        <w:rPr>
          <w:rFonts w:ascii="David" w:hAnsi="David" w:cs="David"/>
          <w:color w:val="000000"/>
          <w:sz w:val="24"/>
          <w:szCs w:val="24"/>
          <w:rtl/>
        </w:rPr>
        <w:t>. וכתבו אחרונים שהואיל והעירוב חלק מן הקידוש, אין כשרים לעירוב אלא אותם הכשרים לקידוש</w:t>
      </w:r>
      <w:r>
        <w:rPr>
          <w:rFonts w:ascii="David" w:hAnsi="David" w:cs="David"/>
          <w:color w:val="0000FF"/>
          <w:sz w:val="24"/>
          <w:szCs w:val="24"/>
          <w:vertAlign w:val="superscript"/>
          <w:rtl/>
        </w:rPr>
        <w:footnoteReference w:customMarkFollows="1" w:id="531"/>
        <w:t>531</w:t>
      </w:r>
      <w:r>
        <w:rPr>
          <w:rFonts w:ascii="David" w:hAnsi="David" w:cs="David"/>
          <w:color w:val="000000"/>
          <w:sz w:val="24"/>
          <w:szCs w:val="24"/>
          <w:rtl/>
        </w:rPr>
        <w:t xml:space="preserve">. </w:t>
      </w:r>
    </w:p>
    <w:p w14:paraId="0E4E77A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חובת עירוב האפר במים מן התורה היא</w:t>
      </w:r>
      <w:r>
        <w:rPr>
          <w:rFonts w:ascii="David" w:hAnsi="David" w:cs="David"/>
          <w:color w:val="0000FF"/>
          <w:sz w:val="24"/>
          <w:szCs w:val="24"/>
          <w:vertAlign w:val="superscript"/>
          <w:rtl/>
        </w:rPr>
        <w:footnoteReference w:customMarkFollows="1" w:id="532"/>
        <w:t>532</w:t>
      </w:r>
      <w:r>
        <w:rPr>
          <w:rFonts w:ascii="David" w:hAnsi="David" w:cs="David"/>
          <w:color w:val="000000"/>
          <w:sz w:val="24"/>
          <w:szCs w:val="24"/>
          <w:rtl/>
        </w:rPr>
        <w:t>, וכתבו אחרונים שהעירוב מעכב את חלות הקידוש, ואין המים מתקדשים עד שיערב</w:t>
      </w:r>
      <w:r>
        <w:rPr>
          <w:rFonts w:ascii="David" w:hAnsi="David" w:cs="David"/>
          <w:color w:val="0000FF"/>
          <w:sz w:val="24"/>
          <w:szCs w:val="24"/>
          <w:vertAlign w:val="superscript"/>
          <w:rtl/>
        </w:rPr>
        <w:footnoteReference w:customMarkFollows="1" w:id="533"/>
        <w:t>533</w:t>
      </w:r>
      <w:r>
        <w:rPr>
          <w:rFonts w:ascii="David" w:hAnsi="David" w:cs="David"/>
          <w:color w:val="000000"/>
          <w:sz w:val="24"/>
          <w:szCs w:val="24"/>
          <w:rtl/>
        </w:rPr>
        <w:t>, שכל האמור בפרשת פרה ומי חטאת, מעכב, לפי שנאמר בה "זאת חקת התורה"</w:t>
      </w:r>
      <w:r>
        <w:rPr>
          <w:rFonts w:ascii="David" w:hAnsi="David" w:cs="David"/>
          <w:color w:val="0000FF"/>
          <w:sz w:val="24"/>
          <w:szCs w:val="24"/>
          <w:vertAlign w:val="superscript"/>
          <w:rtl/>
        </w:rPr>
        <w:footnoteReference w:customMarkFollows="1" w:id="534"/>
        <w:t>534</w:t>
      </w:r>
      <w:r>
        <w:rPr>
          <w:rFonts w:ascii="David" w:hAnsi="David" w:cs="David"/>
          <w:color w:val="000000"/>
          <w:sz w:val="24"/>
          <w:szCs w:val="24"/>
          <w:rtl/>
        </w:rPr>
        <w:t>, ומצינו שכל מקום שנאמר תורה וחוקה אינו אלא לעכב</w:t>
      </w:r>
      <w:r>
        <w:rPr>
          <w:rFonts w:ascii="David" w:hAnsi="David" w:cs="David"/>
          <w:color w:val="0000FF"/>
          <w:sz w:val="24"/>
          <w:szCs w:val="24"/>
          <w:vertAlign w:val="superscript"/>
          <w:rtl/>
        </w:rPr>
        <w:footnoteReference w:customMarkFollows="1" w:id="535"/>
        <w:t>535</w:t>
      </w:r>
      <w:r>
        <w:rPr>
          <w:rFonts w:ascii="David" w:hAnsi="David" w:cs="David"/>
          <w:color w:val="000000"/>
          <w:sz w:val="24"/>
          <w:szCs w:val="24"/>
          <w:rtl/>
        </w:rPr>
        <w:t>, ולפיכך יש שכתבו, שעשיית מלאכה שאינה פוסלת במים אלא עד שיתקדשו</w:t>
      </w:r>
      <w:r>
        <w:rPr>
          <w:rFonts w:ascii="David" w:hAnsi="David" w:cs="David"/>
          <w:color w:val="0000FF"/>
          <w:sz w:val="24"/>
          <w:szCs w:val="24"/>
          <w:vertAlign w:val="superscript"/>
          <w:rtl/>
        </w:rPr>
        <w:footnoteReference w:customMarkFollows="1" w:id="536"/>
        <w:t>536</w:t>
      </w:r>
      <w:r>
        <w:rPr>
          <w:rFonts w:ascii="David" w:hAnsi="David" w:cs="David"/>
          <w:color w:val="000000"/>
          <w:sz w:val="24"/>
          <w:szCs w:val="24"/>
          <w:rtl/>
        </w:rPr>
        <w:t>, פוסלת עד זמן העירוב</w:t>
      </w:r>
      <w:r>
        <w:rPr>
          <w:rFonts w:ascii="David" w:hAnsi="David" w:cs="David"/>
          <w:color w:val="0000FF"/>
          <w:sz w:val="24"/>
          <w:szCs w:val="24"/>
          <w:vertAlign w:val="superscript"/>
          <w:rtl/>
        </w:rPr>
        <w:footnoteReference w:customMarkFollows="1" w:id="537"/>
        <w:t>537</w:t>
      </w:r>
      <w:r>
        <w:rPr>
          <w:rFonts w:ascii="David" w:hAnsi="David" w:cs="David"/>
          <w:color w:val="000000"/>
          <w:sz w:val="24"/>
          <w:szCs w:val="24"/>
          <w:rtl/>
        </w:rPr>
        <w:t>. ומכל מקום, אם נשפכו חלק מהמים קודם עירוב, אין אומרים שכיון שאותם המים לא נתקדשו, הוברר שבשעת נתינת האפר היו מעורבים מים אלו במים שנתקדשו, ופוסלים אותם, שבשעת נתינת האפר היו כל המים כשרים, ואלו שנשפכו נפסלו אחר כך, ואינם פוסלים את המים הנשארים</w:t>
      </w:r>
      <w:r>
        <w:rPr>
          <w:rFonts w:ascii="David" w:hAnsi="David" w:cs="David"/>
          <w:color w:val="0000FF"/>
          <w:sz w:val="24"/>
          <w:szCs w:val="24"/>
          <w:vertAlign w:val="superscript"/>
          <w:rtl/>
        </w:rPr>
        <w:footnoteReference w:customMarkFollows="1" w:id="538"/>
        <w:t>538</w:t>
      </w:r>
      <w:r>
        <w:rPr>
          <w:rFonts w:ascii="David" w:hAnsi="David" w:cs="David"/>
          <w:color w:val="000000"/>
          <w:sz w:val="24"/>
          <w:szCs w:val="24"/>
          <w:rtl/>
        </w:rPr>
        <w:t>. על הטעם שאף על פי שאין המים מתקדשים קודם העירוב, אף אפר שנגע במים ולא נתערב, אין חוזרים ומקדשים בו</w:t>
      </w:r>
      <w:r>
        <w:rPr>
          <w:rFonts w:ascii="David" w:hAnsi="David" w:cs="David"/>
          <w:color w:val="0000FF"/>
          <w:sz w:val="24"/>
          <w:szCs w:val="24"/>
          <w:vertAlign w:val="superscript"/>
          <w:rtl/>
        </w:rPr>
        <w:footnoteReference w:customMarkFollows="1" w:id="539"/>
        <w:t>539</w:t>
      </w:r>
      <w:r>
        <w:rPr>
          <w:rFonts w:ascii="David" w:hAnsi="David" w:cs="David"/>
          <w:color w:val="000000"/>
          <w:sz w:val="24"/>
          <w:szCs w:val="24"/>
          <w:rtl/>
        </w:rPr>
        <w:t>, לסוברים שאין מקדשים באפר שקידשו בו</w:t>
      </w:r>
      <w:r>
        <w:rPr>
          <w:rFonts w:ascii="David" w:hAnsi="David" w:cs="David"/>
          <w:color w:val="0000FF"/>
          <w:sz w:val="24"/>
          <w:szCs w:val="24"/>
          <w:vertAlign w:val="superscript"/>
          <w:rtl/>
        </w:rPr>
        <w:footnoteReference w:customMarkFollows="1" w:id="540"/>
        <w:t>540</w:t>
      </w:r>
      <w:r>
        <w:rPr>
          <w:rFonts w:ascii="David" w:hAnsi="David" w:cs="David"/>
          <w:color w:val="000000"/>
          <w:sz w:val="24"/>
          <w:szCs w:val="24"/>
          <w:rtl/>
        </w:rPr>
        <w:t>, עי' להלן</w:t>
      </w:r>
      <w:r>
        <w:rPr>
          <w:rFonts w:ascii="David" w:hAnsi="David" w:cs="David"/>
          <w:color w:val="0000FF"/>
          <w:sz w:val="24"/>
          <w:szCs w:val="24"/>
          <w:vertAlign w:val="superscript"/>
          <w:rtl/>
        </w:rPr>
        <w:footnoteReference w:customMarkFollows="1" w:id="541"/>
        <w:t>541</w:t>
      </w:r>
      <w:r>
        <w:rPr>
          <w:rFonts w:ascii="David" w:hAnsi="David" w:cs="David"/>
          <w:color w:val="000000"/>
          <w:sz w:val="24"/>
          <w:szCs w:val="24"/>
          <w:rtl/>
        </w:rPr>
        <w:t xml:space="preserve">. ויש מן האחרונים שכתבו בדעת ראשונים, שמן התורה די בנתינת האפר </w:t>
      </w:r>
    </w:p>
    <w:p w14:paraId="735224E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גבי המים, ואין העירוב אלא מדבריהם, והדרשה שדרשו ללמוד ממנה שצריך לערב, אסמכתא בעלמא היא</w:t>
      </w:r>
      <w:r>
        <w:rPr>
          <w:rFonts w:ascii="David" w:hAnsi="David" w:cs="David"/>
          <w:color w:val="0000FF"/>
          <w:sz w:val="24"/>
          <w:szCs w:val="24"/>
          <w:vertAlign w:val="superscript"/>
          <w:rtl/>
        </w:rPr>
        <w:footnoteReference w:customMarkFollows="1" w:id="542"/>
        <w:t>542</w:t>
      </w:r>
      <w:r>
        <w:rPr>
          <w:rFonts w:ascii="David" w:hAnsi="David" w:cs="David"/>
          <w:color w:val="000000"/>
          <w:sz w:val="24"/>
          <w:szCs w:val="24"/>
          <w:rtl/>
        </w:rPr>
        <w:t>, וכתבו, שלדבריהם אין העירוב מעכב</w:t>
      </w:r>
      <w:r>
        <w:rPr>
          <w:rFonts w:ascii="David" w:hAnsi="David" w:cs="David"/>
          <w:color w:val="0000FF"/>
          <w:sz w:val="24"/>
          <w:szCs w:val="24"/>
          <w:vertAlign w:val="superscript"/>
          <w:rtl/>
        </w:rPr>
        <w:footnoteReference w:customMarkFollows="1" w:id="543"/>
        <w:t>543</w:t>
      </w:r>
      <w:r>
        <w:rPr>
          <w:rFonts w:ascii="David" w:hAnsi="David" w:cs="David"/>
          <w:color w:val="000000"/>
          <w:sz w:val="24"/>
          <w:szCs w:val="24"/>
          <w:rtl/>
        </w:rPr>
        <w:t xml:space="preserve">. </w:t>
      </w:r>
    </w:p>
    <w:p w14:paraId="315E91D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[הכשרים לקידוש]</w:t>
      </w:r>
    </w:p>
    <w:p w14:paraId="140D38A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הכל כשרים לקדש</w:t>
      </w:r>
      <w:r>
        <w:rPr>
          <w:rFonts w:ascii="David" w:hAnsi="David" w:cs="David"/>
          <w:color w:val="0000FF"/>
          <w:sz w:val="24"/>
          <w:szCs w:val="24"/>
          <w:vertAlign w:val="superscript"/>
          <w:rtl/>
        </w:rPr>
        <w:footnoteReference w:customMarkFollows="1" w:id="544"/>
        <w:t>544</w:t>
      </w:r>
      <w:r>
        <w:rPr>
          <w:rFonts w:ascii="David" w:hAnsi="David" w:cs="David"/>
          <w:color w:val="000000"/>
          <w:sz w:val="24"/>
          <w:szCs w:val="24"/>
          <w:rtl/>
        </w:rPr>
        <w:t xml:space="preserve"> ואפילו זר*</w:t>
      </w:r>
      <w:r>
        <w:rPr>
          <w:rFonts w:ascii="David" w:hAnsi="David" w:cs="David"/>
          <w:color w:val="0000FF"/>
          <w:sz w:val="24"/>
          <w:szCs w:val="24"/>
          <w:vertAlign w:val="superscript"/>
          <w:rtl/>
        </w:rPr>
        <w:footnoteReference w:customMarkFollows="1" w:id="545"/>
        <w:t>545</w:t>
      </w:r>
      <w:r>
        <w:rPr>
          <w:rFonts w:ascii="David" w:hAnsi="David" w:cs="David"/>
          <w:color w:val="000000"/>
          <w:sz w:val="24"/>
          <w:szCs w:val="24"/>
          <w:rtl/>
        </w:rPr>
        <w:t xml:space="preserve"> - אף על פי שיש ממעשי הפרה הטעונים דוקא כהן</w:t>
      </w:r>
      <w:r>
        <w:rPr>
          <w:rFonts w:ascii="David" w:hAnsi="David" w:cs="David"/>
          <w:color w:val="0000FF"/>
          <w:sz w:val="24"/>
          <w:szCs w:val="24"/>
          <w:vertAlign w:val="superscript"/>
          <w:rtl/>
        </w:rPr>
        <w:footnoteReference w:customMarkFollows="1" w:id="546"/>
        <w:t>546</w:t>
      </w:r>
      <w:r>
        <w:rPr>
          <w:rFonts w:ascii="David" w:hAnsi="David" w:cs="David"/>
          <w:color w:val="000000"/>
          <w:sz w:val="24"/>
          <w:szCs w:val="24"/>
          <w:rtl/>
        </w:rPr>
        <w:t xml:space="preserve"> - ואשה</w:t>
      </w:r>
      <w:r>
        <w:rPr>
          <w:rFonts w:ascii="David" w:hAnsi="David" w:cs="David"/>
          <w:color w:val="0000FF"/>
          <w:sz w:val="24"/>
          <w:szCs w:val="24"/>
          <w:vertAlign w:val="superscript"/>
          <w:rtl/>
        </w:rPr>
        <w:footnoteReference w:customMarkFollows="1" w:id="547"/>
        <w:t>547</w:t>
      </w:r>
      <w:r>
        <w:rPr>
          <w:rFonts w:ascii="David" w:hAnsi="David" w:cs="David"/>
          <w:color w:val="000000"/>
          <w:sz w:val="24"/>
          <w:szCs w:val="24"/>
          <w:rtl/>
        </w:rPr>
        <w:t>, ואנדרוגינוס*</w:t>
      </w:r>
      <w:r>
        <w:rPr>
          <w:rFonts w:ascii="David" w:hAnsi="David" w:cs="David"/>
          <w:color w:val="0000FF"/>
          <w:sz w:val="24"/>
          <w:szCs w:val="24"/>
          <w:vertAlign w:val="superscript"/>
          <w:rtl/>
        </w:rPr>
        <w:footnoteReference w:customMarkFollows="1" w:id="548"/>
        <w:t>548</w:t>
      </w:r>
      <w:r>
        <w:rPr>
          <w:rFonts w:ascii="David" w:hAnsi="David" w:cs="David"/>
          <w:color w:val="000000"/>
          <w:sz w:val="24"/>
          <w:szCs w:val="24"/>
          <w:rtl/>
        </w:rPr>
        <w:t xml:space="preserve"> מהול</w:t>
      </w:r>
      <w:r>
        <w:rPr>
          <w:rFonts w:ascii="David" w:hAnsi="David" w:cs="David"/>
          <w:color w:val="0000FF"/>
          <w:sz w:val="24"/>
          <w:szCs w:val="24"/>
          <w:vertAlign w:val="superscript"/>
          <w:rtl/>
        </w:rPr>
        <w:footnoteReference w:customMarkFollows="1" w:id="549"/>
        <w:t>549</w:t>
      </w:r>
      <w:r>
        <w:rPr>
          <w:rFonts w:ascii="David" w:hAnsi="David" w:cs="David"/>
          <w:color w:val="000000"/>
          <w:sz w:val="24"/>
          <w:szCs w:val="24"/>
          <w:rtl/>
        </w:rPr>
        <w:t>, ועבד</w:t>
      </w:r>
      <w:r>
        <w:rPr>
          <w:rFonts w:ascii="David" w:hAnsi="David" w:cs="David"/>
          <w:color w:val="0000FF"/>
          <w:sz w:val="24"/>
          <w:szCs w:val="24"/>
          <w:vertAlign w:val="superscript"/>
          <w:rtl/>
        </w:rPr>
        <w:footnoteReference w:customMarkFollows="1" w:id="550"/>
        <w:t>550</w:t>
      </w:r>
      <w:r>
        <w:rPr>
          <w:rFonts w:ascii="David" w:hAnsi="David" w:cs="David"/>
          <w:color w:val="000000"/>
          <w:sz w:val="24"/>
          <w:szCs w:val="24"/>
          <w:rtl/>
        </w:rPr>
        <w:t>, על הפסולים לקדש, עי' להלן. שלמדו מאסיפת אפר-חטאת*, שכל הכשרים לאסיפת אפר חטאת - כגון זר ואשה</w:t>
      </w:r>
      <w:r>
        <w:rPr>
          <w:rFonts w:ascii="David" w:hAnsi="David" w:cs="David"/>
          <w:color w:val="0000FF"/>
          <w:sz w:val="24"/>
          <w:szCs w:val="24"/>
          <w:vertAlign w:val="superscript"/>
          <w:rtl/>
        </w:rPr>
        <w:footnoteReference w:customMarkFollows="1" w:id="551"/>
        <w:t>551</w:t>
      </w:r>
      <w:r>
        <w:rPr>
          <w:rFonts w:ascii="David" w:hAnsi="David" w:cs="David"/>
          <w:color w:val="000000"/>
          <w:sz w:val="24"/>
          <w:szCs w:val="24"/>
          <w:rtl/>
        </w:rPr>
        <w:t xml:space="preserve"> - כשרים לקידוש</w:t>
      </w:r>
      <w:r>
        <w:rPr>
          <w:rFonts w:ascii="David" w:hAnsi="David" w:cs="David"/>
          <w:color w:val="0000FF"/>
          <w:sz w:val="24"/>
          <w:szCs w:val="24"/>
          <w:vertAlign w:val="superscript"/>
          <w:rtl/>
        </w:rPr>
        <w:footnoteReference w:customMarkFollows="1" w:id="552"/>
        <w:t>552</w:t>
      </w:r>
      <w:r>
        <w:rPr>
          <w:rFonts w:ascii="David" w:hAnsi="David" w:cs="David"/>
          <w:color w:val="000000"/>
          <w:sz w:val="24"/>
          <w:szCs w:val="24"/>
          <w:rtl/>
        </w:rPr>
        <w:t>, שנאמר בקידוש: ולקחו לטמא מעפר שרפת החטאת</w:t>
      </w:r>
      <w:r>
        <w:rPr>
          <w:rFonts w:ascii="David" w:hAnsi="David" w:cs="David"/>
          <w:color w:val="0000FF"/>
          <w:sz w:val="24"/>
          <w:szCs w:val="24"/>
          <w:vertAlign w:val="superscript"/>
          <w:rtl/>
        </w:rPr>
        <w:footnoteReference w:customMarkFollows="1" w:id="553"/>
        <w:t>553</w:t>
      </w:r>
      <w:r>
        <w:rPr>
          <w:rFonts w:ascii="David" w:hAnsi="David" w:cs="David"/>
          <w:color w:val="000000"/>
          <w:sz w:val="24"/>
          <w:szCs w:val="24"/>
          <w:rtl/>
        </w:rPr>
        <w:t>, משמע, לקחו אותם הנאמרים למעלה באסיפת האפר, שהיא העבודה הקודמת לקידוש</w:t>
      </w:r>
      <w:r>
        <w:rPr>
          <w:rFonts w:ascii="David" w:hAnsi="David" w:cs="David"/>
          <w:color w:val="0000FF"/>
          <w:sz w:val="24"/>
          <w:szCs w:val="24"/>
          <w:vertAlign w:val="superscript"/>
          <w:rtl/>
        </w:rPr>
        <w:footnoteReference w:customMarkFollows="1" w:id="554"/>
        <w:t>554</w:t>
      </w:r>
      <w:r>
        <w:rPr>
          <w:rFonts w:ascii="David" w:hAnsi="David" w:cs="David"/>
          <w:color w:val="000000"/>
          <w:sz w:val="24"/>
          <w:szCs w:val="24"/>
          <w:rtl/>
        </w:rPr>
        <w:t>, או מפני שנאמר לאחר מכן: ונתן עליו מים חיים אל כלי</w:t>
      </w:r>
      <w:r>
        <w:rPr>
          <w:rFonts w:ascii="David" w:hAnsi="David" w:cs="David"/>
          <w:color w:val="0000FF"/>
          <w:sz w:val="24"/>
          <w:szCs w:val="24"/>
          <w:vertAlign w:val="superscript"/>
          <w:rtl/>
        </w:rPr>
        <w:footnoteReference w:customMarkFollows="1" w:id="555"/>
        <w:t>555</w:t>
      </w:r>
      <w:r>
        <w:rPr>
          <w:rFonts w:ascii="David" w:hAnsi="David" w:cs="David"/>
          <w:color w:val="000000"/>
          <w:sz w:val="24"/>
          <w:szCs w:val="24"/>
          <w:rtl/>
        </w:rPr>
        <w:t>, הוקשה נתינת מים אל כלי לעפר שריפה, מה עפר שריפה הכל כשרים באסיפה, אף קידוש כן</w:t>
      </w:r>
      <w:r>
        <w:rPr>
          <w:rFonts w:ascii="David" w:hAnsi="David" w:cs="David"/>
          <w:color w:val="0000FF"/>
          <w:sz w:val="24"/>
          <w:szCs w:val="24"/>
          <w:vertAlign w:val="superscript"/>
          <w:rtl/>
        </w:rPr>
        <w:footnoteReference w:customMarkFollows="1" w:id="556"/>
        <w:t>556</w:t>
      </w:r>
      <w:r>
        <w:rPr>
          <w:rFonts w:ascii="David" w:hAnsi="David" w:cs="David"/>
          <w:color w:val="000000"/>
          <w:sz w:val="24"/>
          <w:szCs w:val="24"/>
          <w:rtl/>
        </w:rPr>
        <w:t>. ורבי יהודה פוסל באשה ובאנדרוגינוס</w:t>
      </w:r>
      <w:r>
        <w:rPr>
          <w:rFonts w:ascii="David" w:hAnsi="David" w:cs="David"/>
          <w:color w:val="0000FF"/>
          <w:sz w:val="24"/>
          <w:szCs w:val="24"/>
          <w:vertAlign w:val="superscript"/>
          <w:rtl/>
        </w:rPr>
        <w:footnoteReference w:customMarkFollows="1" w:id="557"/>
        <w:t>557</w:t>
      </w:r>
      <w:r>
        <w:rPr>
          <w:rFonts w:ascii="David" w:hAnsi="David" w:cs="David"/>
          <w:color w:val="000000"/>
          <w:sz w:val="24"/>
          <w:szCs w:val="24"/>
          <w:rtl/>
        </w:rPr>
        <w:t>, שדרש: ונתן, ולא נתנה</w:t>
      </w:r>
      <w:r>
        <w:rPr>
          <w:rFonts w:ascii="David" w:hAnsi="David" w:cs="David"/>
          <w:color w:val="0000FF"/>
          <w:sz w:val="24"/>
          <w:szCs w:val="24"/>
          <w:vertAlign w:val="superscript"/>
          <w:rtl/>
        </w:rPr>
        <w:footnoteReference w:customMarkFollows="1" w:id="558"/>
        <w:t>558</w:t>
      </w:r>
      <w:r>
        <w:rPr>
          <w:rFonts w:ascii="David" w:hAnsi="David" w:cs="David"/>
          <w:color w:val="000000"/>
          <w:sz w:val="24"/>
          <w:szCs w:val="24"/>
          <w:rtl/>
        </w:rPr>
        <w:t>, ואף על פי שכל התורה כולה בלשון זכר נאמרה, ולא נתמעטה אשה</w:t>
      </w:r>
      <w:r>
        <w:rPr>
          <w:rFonts w:ascii="David" w:hAnsi="David" w:cs="David"/>
          <w:color w:val="0000FF"/>
          <w:sz w:val="24"/>
          <w:szCs w:val="24"/>
          <w:vertAlign w:val="superscript"/>
          <w:rtl/>
        </w:rPr>
        <w:footnoteReference w:customMarkFollows="1" w:id="559"/>
        <w:t>559</w:t>
      </w:r>
      <w:r>
        <w:rPr>
          <w:rFonts w:ascii="David" w:hAnsi="David" w:cs="David"/>
          <w:color w:val="000000"/>
          <w:sz w:val="24"/>
          <w:szCs w:val="24"/>
          <w:rtl/>
        </w:rPr>
        <w:t>, הואיל ושינה הכתוב בדיבורו ואמר: ולקחו, לשון רבים, ונתן, לשון יחיד, דרש מ"ונתן" למעט אשה</w:t>
      </w:r>
      <w:r>
        <w:rPr>
          <w:rFonts w:ascii="David" w:hAnsi="David" w:cs="David"/>
          <w:color w:val="0000FF"/>
          <w:sz w:val="24"/>
          <w:szCs w:val="24"/>
          <w:vertAlign w:val="superscript"/>
          <w:rtl/>
        </w:rPr>
        <w:footnoteReference w:customMarkFollows="1" w:id="560"/>
        <w:t>560</w:t>
      </w:r>
      <w:r>
        <w:rPr>
          <w:rFonts w:ascii="David" w:hAnsi="David" w:cs="David"/>
          <w:color w:val="000000"/>
          <w:sz w:val="24"/>
          <w:szCs w:val="24"/>
          <w:rtl/>
        </w:rPr>
        <w:t>, או שדרש כן מיתור הכתוב "ונתן"</w:t>
      </w:r>
      <w:r>
        <w:rPr>
          <w:rFonts w:ascii="David" w:hAnsi="David" w:cs="David"/>
          <w:color w:val="0000FF"/>
          <w:sz w:val="24"/>
          <w:szCs w:val="24"/>
          <w:vertAlign w:val="superscript"/>
          <w:rtl/>
        </w:rPr>
        <w:footnoteReference w:customMarkFollows="1" w:id="561"/>
        <w:t>561</w:t>
      </w:r>
      <w:r>
        <w:rPr>
          <w:rFonts w:ascii="David" w:hAnsi="David" w:cs="David"/>
          <w:color w:val="000000"/>
          <w:sz w:val="24"/>
          <w:szCs w:val="24"/>
          <w:rtl/>
        </w:rPr>
        <w:t>, שהיה יכול לומר: ולקחו לטמא וגו' ועליו מים חיים</w:t>
      </w:r>
      <w:r>
        <w:rPr>
          <w:rFonts w:ascii="David" w:hAnsi="David" w:cs="David"/>
          <w:color w:val="0000FF"/>
          <w:sz w:val="24"/>
          <w:szCs w:val="24"/>
          <w:vertAlign w:val="superscript"/>
          <w:rtl/>
        </w:rPr>
        <w:footnoteReference w:customMarkFollows="1" w:id="562"/>
        <w:t>562</w:t>
      </w:r>
      <w:r>
        <w:rPr>
          <w:rFonts w:ascii="David" w:hAnsi="David" w:cs="David"/>
          <w:color w:val="000000"/>
          <w:sz w:val="24"/>
          <w:szCs w:val="24"/>
          <w:rtl/>
        </w:rPr>
        <w:t>. על הטעם שנאמר "ולקחו", "ונתן", לדעת חכמים, עי' לעיל</w:t>
      </w:r>
      <w:r>
        <w:rPr>
          <w:rFonts w:ascii="David" w:hAnsi="David" w:cs="David"/>
          <w:color w:val="0000FF"/>
          <w:sz w:val="24"/>
          <w:szCs w:val="24"/>
          <w:vertAlign w:val="superscript"/>
          <w:rtl/>
        </w:rPr>
        <w:footnoteReference w:customMarkFollows="1" w:id="563"/>
        <w:t>563</w:t>
      </w:r>
      <w:r>
        <w:rPr>
          <w:rFonts w:ascii="David" w:hAnsi="David" w:cs="David"/>
          <w:color w:val="000000"/>
          <w:sz w:val="24"/>
          <w:szCs w:val="24"/>
          <w:rtl/>
        </w:rPr>
        <w:t>. ואף אנדרוגינוס הפסול לקידוש לדעת ר' יהודה, הוא מטעם זה, שאנדרוגינוס הוא ספק אשה, לסוברים כן</w:t>
      </w:r>
      <w:r>
        <w:rPr>
          <w:rFonts w:ascii="David" w:hAnsi="David" w:cs="David"/>
          <w:color w:val="0000FF"/>
          <w:sz w:val="24"/>
          <w:szCs w:val="24"/>
          <w:vertAlign w:val="superscript"/>
          <w:rtl/>
        </w:rPr>
        <w:footnoteReference w:customMarkFollows="1" w:id="564"/>
        <w:t>564</w:t>
      </w:r>
      <w:r>
        <w:rPr>
          <w:rFonts w:ascii="David" w:hAnsi="David" w:cs="David"/>
          <w:color w:val="000000"/>
          <w:sz w:val="24"/>
          <w:szCs w:val="24"/>
          <w:rtl/>
        </w:rPr>
        <w:t>, ואשה פסולה לקדש</w:t>
      </w:r>
      <w:r>
        <w:rPr>
          <w:rFonts w:ascii="David" w:hAnsi="David" w:cs="David"/>
          <w:color w:val="0000FF"/>
          <w:sz w:val="24"/>
          <w:szCs w:val="24"/>
          <w:vertAlign w:val="superscript"/>
          <w:rtl/>
        </w:rPr>
        <w:footnoteReference w:customMarkFollows="1" w:id="565"/>
        <w:t>565</w:t>
      </w:r>
      <w:r>
        <w:rPr>
          <w:rFonts w:ascii="David" w:hAnsi="David" w:cs="David"/>
          <w:color w:val="000000"/>
          <w:sz w:val="24"/>
          <w:szCs w:val="24"/>
          <w:rtl/>
        </w:rPr>
        <w:t>. והלכה כתנא קמא שאשה ואנדרוגינוס כשרים לקדש</w:t>
      </w:r>
      <w:r>
        <w:rPr>
          <w:rFonts w:ascii="David" w:hAnsi="David" w:cs="David"/>
          <w:color w:val="0000FF"/>
          <w:sz w:val="24"/>
          <w:szCs w:val="24"/>
          <w:vertAlign w:val="superscript"/>
          <w:rtl/>
        </w:rPr>
        <w:footnoteReference w:customMarkFollows="1" w:id="566"/>
        <w:t>566</w:t>
      </w:r>
      <w:r>
        <w:rPr>
          <w:rFonts w:ascii="David" w:hAnsi="David" w:cs="David"/>
          <w:color w:val="000000"/>
          <w:sz w:val="24"/>
          <w:szCs w:val="24"/>
          <w:rtl/>
        </w:rPr>
        <w:t xml:space="preserve">. </w:t>
      </w:r>
    </w:p>
    <w:p w14:paraId="5A44035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[חרש שוטה וקטן]</w:t>
      </w:r>
    </w:p>
    <w:p w14:paraId="7E40E6C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חרש-שוטה-וקטן*, נחלקו בהם תנאים: א) לדעת חכמים הם פסולים לקידוש</w:t>
      </w:r>
      <w:r>
        <w:rPr>
          <w:rFonts w:ascii="David" w:hAnsi="David" w:cs="David"/>
          <w:color w:val="0000FF"/>
          <w:sz w:val="24"/>
          <w:szCs w:val="24"/>
          <w:vertAlign w:val="superscript"/>
          <w:rtl/>
        </w:rPr>
        <w:footnoteReference w:customMarkFollows="1" w:id="567"/>
        <w:t>567</w:t>
      </w:r>
      <w:r>
        <w:rPr>
          <w:rFonts w:ascii="David" w:hAnsi="David" w:cs="David"/>
          <w:color w:val="000000"/>
          <w:sz w:val="24"/>
          <w:szCs w:val="24"/>
          <w:rtl/>
        </w:rPr>
        <w:t>, שלמדו זאת מאסיפת אפר-חטאת*, שחרש שוטה וקטן הפסולים לה</w:t>
      </w:r>
      <w:r>
        <w:rPr>
          <w:rFonts w:ascii="David" w:hAnsi="David" w:cs="David"/>
          <w:color w:val="0000FF"/>
          <w:sz w:val="24"/>
          <w:szCs w:val="24"/>
          <w:vertAlign w:val="superscript"/>
          <w:rtl/>
        </w:rPr>
        <w:footnoteReference w:customMarkFollows="1" w:id="568"/>
        <w:t>568</w:t>
      </w:r>
      <w:r>
        <w:rPr>
          <w:rFonts w:ascii="David" w:hAnsi="David" w:cs="David"/>
          <w:color w:val="000000"/>
          <w:sz w:val="24"/>
          <w:szCs w:val="24"/>
          <w:rtl/>
        </w:rPr>
        <w:t>, פסולים לקידוש</w:t>
      </w:r>
      <w:r>
        <w:rPr>
          <w:rFonts w:ascii="David" w:hAnsi="David" w:cs="David"/>
          <w:color w:val="0000FF"/>
          <w:sz w:val="24"/>
          <w:szCs w:val="24"/>
          <w:vertAlign w:val="superscript"/>
          <w:rtl/>
        </w:rPr>
        <w:footnoteReference w:customMarkFollows="1" w:id="569"/>
        <w:t>569</w:t>
      </w:r>
      <w:r>
        <w:rPr>
          <w:rFonts w:ascii="David" w:hAnsi="David" w:cs="David"/>
          <w:color w:val="000000"/>
          <w:sz w:val="24"/>
          <w:szCs w:val="24"/>
          <w:rtl/>
        </w:rPr>
        <w:t>, על אופן הלימוד שלמדו קידוש מאסיפת אפר חטאת, עי' לעיל</w:t>
      </w:r>
      <w:r>
        <w:rPr>
          <w:rFonts w:ascii="David" w:hAnsi="David" w:cs="David"/>
          <w:color w:val="0000FF"/>
          <w:sz w:val="24"/>
          <w:szCs w:val="24"/>
          <w:vertAlign w:val="superscript"/>
          <w:rtl/>
        </w:rPr>
        <w:footnoteReference w:customMarkFollows="1" w:id="570"/>
        <w:t>570</w:t>
      </w:r>
      <w:r>
        <w:rPr>
          <w:rFonts w:ascii="David" w:hAnsi="David" w:cs="David"/>
          <w:color w:val="000000"/>
          <w:sz w:val="24"/>
          <w:szCs w:val="24"/>
          <w:rtl/>
        </w:rPr>
        <w:t>. וכן הלכה, שחרש שוטה וקטן פסולים לקידוש</w:t>
      </w:r>
      <w:r>
        <w:rPr>
          <w:rFonts w:ascii="David" w:hAnsi="David" w:cs="David"/>
          <w:color w:val="0000FF"/>
          <w:sz w:val="24"/>
          <w:szCs w:val="24"/>
          <w:vertAlign w:val="superscript"/>
          <w:rtl/>
        </w:rPr>
        <w:footnoteReference w:customMarkFollows="1" w:id="571"/>
        <w:t>571</w:t>
      </w:r>
      <w:r>
        <w:rPr>
          <w:rFonts w:ascii="David" w:hAnsi="David" w:cs="David"/>
          <w:color w:val="000000"/>
          <w:sz w:val="24"/>
          <w:szCs w:val="24"/>
          <w:rtl/>
        </w:rPr>
        <w:t>. ואפילו קידושו של קטן שיש בו דעת פסול</w:t>
      </w:r>
      <w:r>
        <w:rPr>
          <w:rFonts w:ascii="David" w:hAnsi="David" w:cs="David"/>
          <w:color w:val="0000FF"/>
          <w:sz w:val="24"/>
          <w:szCs w:val="24"/>
          <w:vertAlign w:val="superscript"/>
          <w:rtl/>
        </w:rPr>
        <w:footnoteReference w:customMarkFollows="1" w:id="572"/>
        <w:t>572</w:t>
      </w:r>
      <w:r>
        <w:rPr>
          <w:rFonts w:ascii="David" w:hAnsi="David" w:cs="David"/>
          <w:color w:val="000000"/>
          <w:sz w:val="24"/>
          <w:szCs w:val="24"/>
          <w:rtl/>
        </w:rPr>
        <w:t xml:space="preserve">, ואפילו חרש שוטה וקטן שהיתה להם כוונה לשם קידוש - באופן שכוונתם מועילה, כגון שעשו מעשה המוכיח על כוונתם, ופירשו שעל דעת </w:t>
      </w:r>
    </w:p>
    <w:p w14:paraId="1AE39AF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כן הם עושים</w:t>
      </w:r>
      <w:r>
        <w:rPr>
          <w:rFonts w:ascii="David" w:hAnsi="David" w:cs="David"/>
          <w:color w:val="0000FF"/>
          <w:sz w:val="24"/>
          <w:szCs w:val="24"/>
          <w:vertAlign w:val="superscript"/>
          <w:rtl/>
        </w:rPr>
        <w:footnoteReference w:customMarkFollows="1" w:id="573"/>
        <w:t>573</w:t>
      </w:r>
      <w:r>
        <w:rPr>
          <w:rFonts w:ascii="David" w:hAnsi="David" w:cs="David"/>
          <w:color w:val="000000"/>
          <w:sz w:val="24"/>
          <w:szCs w:val="24"/>
          <w:rtl/>
        </w:rPr>
        <w:t xml:space="preserve"> - קידושם פסול</w:t>
      </w:r>
      <w:r>
        <w:rPr>
          <w:rFonts w:ascii="David" w:hAnsi="David" w:cs="David"/>
          <w:color w:val="0000FF"/>
          <w:sz w:val="24"/>
          <w:szCs w:val="24"/>
          <w:vertAlign w:val="superscript"/>
          <w:rtl/>
        </w:rPr>
        <w:footnoteReference w:customMarkFollows="1" w:id="574"/>
        <w:t>574</w:t>
      </w:r>
      <w:r>
        <w:rPr>
          <w:rFonts w:ascii="David" w:hAnsi="David" w:cs="David"/>
          <w:color w:val="000000"/>
          <w:sz w:val="24"/>
          <w:szCs w:val="24"/>
          <w:rtl/>
        </w:rPr>
        <w:t>, ואף אם אחרים עומדים על גבם ומלמדים אותם שיעשו לשמה, קידושם פסול</w:t>
      </w:r>
      <w:r>
        <w:rPr>
          <w:rFonts w:ascii="David" w:hAnsi="David" w:cs="David"/>
          <w:color w:val="0000FF"/>
          <w:sz w:val="24"/>
          <w:szCs w:val="24"/>
          <w:vertAlign w:val="superscript"/>
          <w:rtl/>
        </w:rPr>
        <w:footnoteReference w:customMarkFollows="1" w:id="575"/>
        <w:t>575</w:t>
      </w:r>
      <w:r>
        <w:rPr>
          <w:rFonts w:ascii="David" w:hAnsi="David" w:cs="David"/>
          <w:color w:val="000000"/>
          <w:sz w:val="24"/>
          <w:szCs w:val="24"/>
          <w:rtl/>
        </w:rPr>
        <w:t>, שאין פסולם מצד חסרון הכוונה הנצרכת לשם קידוש</w:t>
      </w:r>
      <w:r>
        <w:rPr>
          <w:rFonts w:ascii="David" w:hAnsi="David" w:cs="David"/>
          <w:color w:val="0000FF"/>
          <w:sz w:val="24"/>
          <w:szCs w:val="24"/>
          <w:vertAlign w:val="superscript"/>
          <w:rtl/>
        </w:rPr>
        <w:footnoteReference w:customMarkFollows="1" w:id="576"/>
        <w:t>576</w:t>
      </w:r>
      <w:r>
        <w:rPr>
          <w:rFonts w:ascii="David" w:hAnsi="David" w:cs="David"/>
          <w:color w:val="000000"/>
          <w:sz w:val="24"/>
          <w:szCs w:val="24"/>
          <w:rtl/>
        </w:rPr>
        <w:t>, אלא פסול הוא שפסלתם תורה מצד עצמם</w:t>
      </w:r>
      <w:r>
        <w:rPr>
          <w:rFonts w:ascii="David" w:hAnsi="David" w:cs="David"/>
          <w:color w:val="0000FF"/>
          <w:sz w:val="24"/>
          <w:szCs w:val="24"/>
          <w:vertAlign w:val="superscript"/>
          <w:rtl/>
        </w:rPr>
        <w:footnoteReference w:customMarkFollows="1" w:id="577"/>
        <w:t>577</w:t>
      </w:r>
      <w:r>
        <w:rPr>
          <w:rFonts w:ascii="David" w:hAnsi="David" w:cs="David"/>
          <w:color w:val="000000"/>
          <w:sz w:val="24"/>
          <w:szCs w:val="24"/>
          <w:rtl/>
        </w:rPr>
        <w:t>. ומכל מקום, קידוש לצורך הזאה שאינה אלא חומרא דרבנן, יש סוברים שהקילו בו והכשירו בקטן</w:t>
      </w:r>
      <w:r>
        <w:rPr>
          <w:rFonts w:ascii="David" w:hAnsi="David" w:cs="David"/>
          <w:color w:val="0000FF"/>
          <w:sz w:val="24"/>
          <w:szCs w:val="24"/>
          <w:vertAlign w:val="superscript"/>
          <w:rtl/>
        </w:rPr>
        <w:footnoteReference w:customMarkFollows="1" w:id="578"/>
        <w:t>578</w:t>
      </w:r>
      <w:r>
        <w:rPr>
          <w:rFonts w:ascii="David" w:hAnsi="David" w:cs="David"/>
          <w:color w:val="000000"/>
          <w:sz w:val="24"/>
          <w:szCs w:val="24"/>
          <w:rtl/>
        </w:rPr>
        <w:t>, ויש סוברים שאף קידוש לצורך חומרא דרבנן, אינו כשר אלא בגדול</w:t>
      </w:r>
      <w:r>
        <w:rPr>
          <w:rFonts w:ascii="David" w:hAnsi="David" w:cs="David"/>
          <w:color w:val="0000FF"/>
          <w:sz w:val="24"/>
          <w:szCs w:val="24"/>
          <w:vertAlign w:val="superscript"/>
          <w:rtl/>
        </w:rPr>
        <w:footnoteReference w:customMarkFollows="1" w:id="579"/>
        <w:t>579</w:t>
      </w:r>
      <w:r>
        <w:rPr>
          <w:rFonts w:ascii="David" w:hAnsi="David" w:cs="David"/>
          <w:color w:val="000000"/>
          <w:sz w:val="24"/>
          <w:szCs w:val="24"/>
          <w:rtl/>
        </w:rPr>
        <w:t>. ב) ר' יהודה מכשיר בקטן</w:t>
      </w:r>
      <w:r>
        <w:rPr>
          <w:rFonts w:ascii="David" w:hAnsi="David" w:cs="David"/>
          <w:color w:val="0000FF"/>
          <w:sz w:val="24"/>
          <w:szCs w:val="24"/>
          <w:vertAlign w:val="superscript"/>
          <w:rtl/>
        </w:rPr>
        <w:footnoteReference w:customMarkFollows="1" w:id="580"/>
        <w:t>580</w:t>
      </w:r>
      <w:r>
        <w:rPr>
          <w:rFonts w:ascii="David" w:hAnsi="David" w:cs="David"/>
          <w:color w:val="000000"/>
          <w:sz w:val="24"/>
          <w:szCs w:val="24"/>
          <w:rtl/>
        </w:rPr>
        <w:t>, שדרש: ולקחו לטמא</w:t>
      </w:r>
      <w:r>
        <w:rPr>
          <w:rFonts w:ascii="David" w:hAnsi="David" w:cs="David"/>
          <w:color w:val="0000FF"/>
          <w:sz w:val="24"/>
          <w:szCs w:val="24"/>
          <w:vertAlign w:val="superscript"/>
          <w:rtl/>
        </w:rPr>
        <w:footnoteReference w:customMarkFollows="1" w:id="581"/>
        <w:t>581</w:t>
      </w:r>
      <w:r>
        <w:rPr>
          <w:rFonts w:ascii="David" w:hAnsi="David" w:cs="David"/>
          <w:color w:val="000000"/>
          <w:sz w:val="24"/>
          <w:szCs w:val="24"/>
          <w:rtl/>
        </w:rPr>
        <w:t>, לא נאמר "ולקח" - לשון יחיד, כאסיפה שנאמרה בלשון יחיד</w:t>
      </w:r>
      <w:r>
        <w:rPr>
          <w:rFonts w:ascii="David" w:hAnsi="David" w:cs="David"/>
          <w:color w:val="0000FF"/>
          <w:sz w:val="24"/>
          <w:szCs w:val="24"/>
          <w:vertAlign w:val="superscript"/>
          <w:rtl/>
        </w:rPr>
        <w:footnoteReference w:customMarkFollows="1" w:id="582"/>
        <w:t>582</w:t>
      </w:r>
      <w:r>
        <w:rPr>
          <w:rFonts w:ascii="David" w:hAnsi="David" w:cs="David"/>
          <w:color w:val="000000"/>
          <w:sz w:val="24"/>
          <w:szCs w:val="24"/>
          <w:rtl/>
        </w:rPr>
        <w:t xml:space="preserve"> - אלא "ולקחו", לרבות את הקטן, שאף על פי שהוא פסול לאסיפה, כשר לקידוש</w:t>
      </w:r>
      <w:r>
        <w:rPr>
          <w:rFonts w:ascii="David" w:hAnsi="David" w:cs="David"/>
          <w:color w:val="0000FF"/>
          <w:sz w:val="24"/>
          <w:szCs w:val="24"/>
          <w:vertAlign w:val="superscript"/>
          <w:rtl/>
        </w:rPr>
        <w:footnoteReference w:customMarkFollows="1" w:id="583"/>
        <w:t>583</w:t>
      </w:r>
      <w:r>
        <w:rPr>
          <w:rFonts w:ascii="David" w:hAnsi="David" w:cs="David"/>
          <w:color w:val="000000"/>
          <w:sz w:val="24"/>
          <w:szCs w:val="24"/>
          <w:rtl/>
        </w:rPr>
        <w:t>. וכתבו ראשונים, שלא הכשיר ר' יהודה אלא בקטן, ולא בחרש ושוטה</w:t>
      </w:r>
      <w:r>
        <w:rPr>
          <w:rFonts w:ascii="David" w:hAnsi="David" w:cs="David"/>
          <w:color w:val="0000FF"/>
          <w:sz w:val="24"/>
          <w:szCs w:val="24"/>
          <w:vertAlign w:val="superscript"/>
          <w:rtl/>
        </w:rPr>
        <w:footnoteReference w:customMarkFollows="1" w:id="584"/>
        <w:t>584</w:t>
      </w:r>
      <w:r>
        <w:rPr>
          <w:rFonts w:ascii="David" w:hAnsi="David" w:cs="David"/>
          <w:color w:val="000000"/>
          <w:sz w:val="24"/>
          <w:szCs w:val="24"/>
          <w:rtl/>
        </w:rPr>
        <w:t>, לפי שהקטן סופו לבוא לכלל דעת</w:t>
      </w:r>
      <w:r>
        <w:rPr>
          <w:rFonts w:ascii="David" w:hAnsi="David" w:cs="David"/>
          <w:color w:val="0000FF"/>
          <w:sz w:val="24"/>
          <w:szCs w:val="24"/>
          <w:vertAlign w:val="superscript"/>
          <w:rtl/>
        </w:rPr>
        <w:footnoteReference w:customMarkFollows="1" w:id="585"/>
        <w:t>585</w:t>
      </w:r>
      <w:r>
        <w:rPr>
          <w:rFonts w:ascii="David" w:hAnsi="David" w:cs="David"/>
          <w:color w:val="000000"/>
          <w:sz w:val="24"/>
          <w:szCs w:val="24"/>
          <w:rtl/>
        </w:rPr>
        <w:t>, ולכלל איש</w:t>
      </w:r>
      <w:r>
        <w:rPr>
          <w:rFonts w:ascii="David" w:hAnsi="David" w:cs="David"/>
          <w:color w:val="0000FF"/>
          <w:sz w:val="24"/>
          <w:szCs w:val="24"/>
          <w:vertAlign w:val="superscript"/>
          <w:rtl/>
        </w:rPr>
        <w:footnoteReference w:customMarkFollows="1" w:id="586"/>
        <w:t>586</w:t>
      </w:r>
      <w:r>
        <w:rPr>
          <w:rFonts w:ascii="David" w:hAnsi="David" w:cs="David"/>
          <w:color w:val="000000"/>
          <w:sz w:val="24"/>
          <w:szCs w:val="24"/>
          <w:rtl/>
        </w:rPr>
        <w:t>. ויש מן האחרונים שכתבו, שלא הכשיר ר' יהודה קטן אלא כשכבר בא לכלל דעת</w:t>
      </w:r>
      <w:r>
        <w:rPr>
          <w:rFonts w:ascii="David" w:hAnsi="David" w:cs="David"/>
          <w:color w:val="0000FF"/>
          <w:sz w:val="24"/>
          <w:szCs w:val="24"/>
          <w:vertAlign w:val="superscript"/>
          <w:rtl/>
        </w:rPr>
        <w:footnoteReference w:customMarkFollows="1" w:id="587"/>
        <w:t>587</w:t>
      </w:r>
      <w:r>
        <w:rPr>
          <w:rFonts w:ascii="David" w:hAnsi="David" w:cs="David"/>
          <w:color w:val="000000"/>
          <w:sz w:val="24"/>
          <w:szCs w:val="24"/>
          <w:rtl/>
        </w:rPr>
        <w:t>, שדעתו חשובה דעת, אלא שגזירת מלך היא שאין דעתו מספקת במצוות התורה אלא במקום שנתרבה</w:t>
      </w:r>
      <w:r>
        <w:rPr>
          <w:rFonts w:ascii="David" w:hAnsi="David" w:cs="David"/>
          <w:color w:val="0000FF"/>
          <w:sz w:val="24"/>
          <w:szCs w:val="24"/>
          <w:vertAlign w:val="superscript"/>
          <w:rtl/>
        </w:rPr>
        <w:footnoteReference w:customMarkFollows="1" w:id="588"/>
        <w:t>588</w:t>
      </w:r>
      <w:r>
        <w:rPr>
          <w:rFonts w:ascii="David" w:hAnsi="David" w:cs="David"/>
          <w:color w:val="000000"/>
          <w:sz w:val="24"/>
          <w:szCs w:val="24"/>
          <w:rtl/>
        </w:rPr>
        <w:t>, אבל אם אינו בר דעת, הרי הוא בכלל שוטה וקידושו פסול</w:t>
      </w:r>
      <w:r>
        <w:rPr>
          <w:rFonts w:ascii="David" w:hAnsi="David" w:cs="David"/>
          <w:color w:val="0000FF"/>
          <w:sz w:val="24"/>
          <w:szCs w:val="24"/>
          <w:vertAlign w:val="superscript"/>
          <w:rtl/>
        </w:rPr>
        <w:footnoteReference w:customMarkFollows="1" w:id="589"/>
        <w:t>589</w:t>
      </w:r>
      <w:r>
        <w:rPr>
          <w:rFonts w:ascii="David" w:hAnsi="David" w:cs="David"/>
          <w:color w:val="000000"/>
          <w:sz w:val="24"/>
          <w:szCs w:val="24"/>
          <w:rtl/>
        </w:rPr>
        <w:t>. ג) ודעת ר' ישמעאל בנו של ר' יוחנן בן ברוקה, שחרש שוטה וקטן שקידשו ואחרים רואים אותם, קידושם כשר</w:t>
      </w:r>
      <w:r>
        <w:rPr>
          <w:rFonts w:ascii="David" w:hAnsi="David" w:cs="David"/>
          <w:color w:val="0000FF"/>
          <w:sz w:val="24"/>
          <w:szCs w:val="24"/>
          <w:vertAlign w:val="superscript"/>
          <w:rtl/>
        </w:rPr>
        <w:footnoteReference w:customMarkFollows="1" w:id="590"/>
        <w:t>590</w:t>
      </w:r>
      <w:r>
        <w:rPr>
          <w:rFonts w:ascii="David" w:hAnsi="David" w:cs="David"/>
          <w:color w:val="000000"/>
          <w:sz w:val="24"/>
          <w:szCs w:val="24"/>
          <w:rtl/>
        </w:rPr>
        <w:t>, ופירשו אחרונים, שלדעתו אף חרש ושוטה נתרבו מן הכתוב "ולקחו", שכן מצינו שדינם שוה לקטן בכל מקום, ושקולים הם ויבואו שלשתם</w:t>
      </w:r>
      <w:r>
        <w:rPr>
          <w:rFonts w:ascii="David" w:hAnsi="David" w:cs="David"/>
          <w:color w:val="0000FF"/>
          <w:sz w:val="24"/>
          <w:szCs w:val="24"/>
          <w:vertAlign w:val="superscript"/>
          <w:rtl/>
        </w:rPr>
        <w:footnoteReference w:customMarkFollows="1" w:id="591"/>
        <w:t>591</w:t>
      </w:r>
      <w:r>
        <w:rPr>
          <w:rFonts w:ascii="David" w:hAnsi="David" w:cs="David"/>
          <w:color w:val="000000"/>
          <w:sz w:val="24"/>
          <w:szCs w:val="24"/>
          <w:rtl/>
        </w:rPr>
        <w:t>, ומכל מקום הצריך ר' ישמעאל שיהיו אחרים רואים אותם כדי לראות שקידשו כדין, לפי שרוב מעשיהם מקולקלים</w:t>
      </w:r>
      <w:r>
        <w:rPr>
          <w:rFonts w:ascii="David" w:hAnsi="David" w:cs="David"/>
          <w:color w:val="0000FF"/>
          <w:sz w:val="24"/>
          <w:szCs w:val="24"/>
          <w:vertAlign w:val="superscript"/>
          <w:rtl/>
        </w:rPr>
        <w:footnoteReference w:customMarkFollows="1" w:id="592"/>
        <w:t>592</w:t>
      </w:r>
      <w:r>
        <w:rPr>
          <w:rFonts w:ascii="David" w:hAnsi="David" w:cs="David"/>
          <w:color w:val="000000"/>
          <w:sz w:val="24"/>
          <w:szCs w:val="24"/>
          <w:rtl/>
        </w:rPr>
        <w:t>. על הסוברים שמטעם אחר הצריך שיהיו אחרים רואים אותם, עי' לעיל</w:t>
      </w:r>
      <w:r>
        <w:rPr>
          <w:rFonts w:ascii="David" w:hAnsi="David" w:cs="David"/>
          <w:color w:val="0000FF"/>
          <w:sz w:val="24"/>
          <w:szCs w:val="24"/>
          <w:vertAlign w:val="superscript"/>
          <w:rtl/>
        </w:rPr>
        <w:footnoteReference w:customMarkFollows="1" w:id="593"/>
        <w:t>593</w:t>
      </w:r>
      <w:r>
        <w:rPr>
          <w:rFonts w:ascii="David" w:hAnsi="David" w:cs="David"/>
          <w:color w:val="000000"/>
          <w:sz w:val="24"/>
          <w:szCs w:val="24"/>
          <w:rtl/>
        </w:rPr>
        <w:t xml:space="preserve">. </w:t>
      </w:r>
    </w:p>
    <w:p w14:paraId="28BCFB0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[טמא]</w:t>
      </w:r>
    </w:p>
    <w:p w14:paraId="74F71AB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טמא פסול לקידוש</w:t>
      </w:r>
      <w:r>
        <w:rPr>
          <w:rFonts w:ascii="David" w:hAnsi="David" w:cs="David"/>
          <w:color w:val="0000FF"/>
          <w:sz w:val="24"/>
          <w:szCs w:val="24"/>
          <w:vertAlign w:val="superscript"/>
          <w:rtl/>
        </w:rPr>
        <w:footnoteReference w:customMarkFollows="1" w:id="594"/>
        <w:t>594</w:t>
      </w:r>
      <w:r>
        <w:rPr>
          <w:rFonts w:ascii="David" w:hAnsi="David" w:cs="David"/>
          <w:color w:val="000000"/>
          <w:sz w:val="24"/>
          <w:szCs w:val="24"/>
          <w:rtl/>
        </w:rPr>
        <w:t>, שמכיון שאין כשרים לקידוש אלא אותם שכשרים לאסיפת אפר-חטאת*</w:t>
      </w:r>
      <w:r>
        <w:rPr>
          <w:rFonts w:ascii="David" w:hAnsi="David" w:cs="David"/>
          <w:color w:val="0000FF"/>
          <w:sz w:val="24"/>
          <w:szCs w:val="24"/>
          <w:vertAlign w:val="superscript"/>
          <w:rtl/>
        </w:rPr>
        <w:footnoteReference w:customMarkFollows="1" w:id="595"/>
        <w:t>595</w:t>
      </w:r>
      <w:r>
        <w:rPr>
          <w:rFonts w:ascii="David" w:hAnsi="David" w:cs="David"/>
          <w:color w:val="000000"/>
          <w:sz w:val="24"/>
          <w:szCs w:val="24"/>
          <w:rtl/>
        </w:rPr>
        <w:t>, וטמא פסול לאסיפה, שנאמר: ואסף איש טהור</w:t>
      </w:r>
      <w:r>
        <w:rPr>
          <w:rFonts w:ascii="David" w:hAnsi="David" w:cs="David"/>
          <w:color w:val="0000FF"/>
          <w:sz w:val="24"/>
          <w:szCs w:val="24"/>
          <w:vertAlign w:val="superscript"/>
          <w:rtl/>
        </w:rPr>
        <w:footnoteReference w:customMarkFollows="1" w:id="596"/>
        <w:t>596</w:t>
      </w:r>
      <w:r>
        <w:rPr>
          <w:rFonts w:ascii="David" w:hAnsi="David" w:cs="David"/>
          <w:color w:val="000000"/>
          <w:sz w:val="24"/>
          <w:szCs w:val="24"/>
          <w:rtl/>
        </w:rPr>
        <w:t>, הרי הוא פסול לקידוש</w:t>
      </w:r>
      <w:r>
        <w:rPr>
          <w:rFonts w:ascii="David" w:hAnsi="David" w:cs="David"/>
          <w:color w:val="0000FF"/>
          <w:sz w:val="24"/>
          <w:szCs w:val="24"/>
          <w:vertAlign w:val="superscript"/>
          <w:rtl/>
        </w:rPr>
        <w:footnoteReference w:customMarkFollows="1" w:id="597"/>
        <w:t>597</w:t>
      </w:r>
      <w:r>
        <w:rPr>
          <w:rFonts w:ascii="David" w:hAnsi="David" w:cs="David"/>
          <w:color w:val="000000"/>
          <w:sz w:val="24"/>
          <w:szCs w:val="24"/>
          <w:rtl/>
        </w:rPr>
        <w:t>, ויש שכתבו בדעת ראשונים טעם אחר, שלמדים ממה שעשתה התורה את העוסק במים כעוסק בשריפת הפרה, שנאמר: והיתה לעדת בני ישראל למשמרת למי נדה</w:t>
      </w:r>
      <w:r>
        <w:rPr>
          <w:rFonts w:ascii="David" w:hAnsi="David" w:cs="David"/>
          <w:color w:val="0000FF"/>
          <w:sz w:val="24"/>
          <w:szCs w:val="24"/>
          <w:vertAlign w:val="superscript"/>
          <w:rtl/>
        </w:rPr>
        <w:footnoteReference w:customMarkFollows="1" w:id="598"/>
        <w:t>598</w:t>
      </w:r>
      <w:r>
        <w:rPr>
          <w:rFonts w:ascii="David" w:hAnsi="David" w:cs="David"/>
          <w:color w:val="000000"/>
          <w:sz w:val="24"/>
          <w:szCs w:val="24"/>
          <w:rtl/>
        </w:rPr>
        <w:t>, מכאן שמי נדה כפרה עצמה</w:t>
      </w:r>
      <w:r>
        <w:rPr>
          <w:rFonts w:ascii="David" w:hAnsi="David" w:cs="David"/>
          <w:color w:val="0000FF"/>
          <w:sz w:val="24"/>
          <w:szCs w:val="24"/>
          <w:vertAlign w:val="superscript"/>
          <w:rtl/>
        </w:rPr>
        <w:footnoteReference w:customMarkFollows="1" w:id="599"/>
        <w:t>599</w:t>
      </w:r>
      <w:r>
        <w:rPr>
          <w:rFonts w:ascii="David" w:hAnsi="David" w:cs="David"/>
          <w:color w:val="000000"/>
          <w:sz w:val="24"/>
          <w:szCs w:val="24"/>
          <w:rtl/>
        </w:rPr>
        <w:t>, וכשם שטמא פסול לעסוק בשריפת הפרה</w:t>
      </w:r>
      <w:r>
        <w:rPr>
          <w:rFonts w:ascii="David" w:hAnsi="David" w:cs="David"/>
          <w:color w:val="0000FF"/>
          <w:sz w:val="24"/>
          <w:szCs w:val="24"/>
          <w:vertAlign w:val="superscript"/>
          <w:rtl/>
        </w:rPr>
        <w:footnoteReference w:customMarkFollows="1" w:id="600"/>
        <w:t>600</w:t>
      </w:r>
      <w:r>
        <w:rPr>
          <w:rFonts w:ascii="David" w:hAnsi="David" w:cs="David"/>
          <w:color w:val="000000"/>
          <w:sz w:val="24"/>
          <w:szCs w:val="24"/>
          <w:rtl/>
        </w:rPr>
        <w:t xml:space="preserve">, כך הוא פסול </w:t>
      </w:r>
    </w:p>
    <w:p w14:paraId="46C8391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לעסוק במי חטאת</w:t>
      </w:r>
      <w:r>
        <w:rPr>
          <w:rFonts w:ascii="David" w:hAnsi="David" w:cs="David"/>
          <w:color w:val="0000FF"/>
          <w:sz w:val="24"/>
          <w:szCs w:val="24"/>
          <w:vertAlign w:val="superscript"/>
          <w:rtl/>
        </w:rPr>
        <w:footnoteReference w:customMarkFollows="1" w:id="601"/>
        <w:t>601</w:t>
      </w:r>
      <w:r>
        <w:rPr>
          <w:rFonts w:ascii="David" w:hAnsi="David" w:cs="David"/>
          <w:color w:val="000000"/>
          <w:sz w:val="24"/>
          <w:szCs w:val="24"/>
          <w:rtl/>
        </w:rPr>
        <w:t>. ויש מן האחרונים שכתבו, שטמא פסול לקידוש אף מטעם נוסף, שבשעה שנוטל הטמא את האפר בידו, הרי האפר נפסל מחמת היותו ב"מקום טמא"</w:t>
      </w:r>
      <w:r>
        <w:rPr>
          <w:rFonts w:ascii="David" w:hAnsi="David" w:cs="David"/>
          <w:color w:val="0000FF"/>
          <w:sz w:val="24"/>
          <w:szCs w:val="24"/>
          <w:vertAlign w:val="superscript"/>
          <w:rtl/>
        </w:rPr>
        <w:footnoteReference w:customMarkFollows="1" w:id="602"/>
        <w:t>602</w:t>
      </w:r>
      <w:r>
        <w:rPr>
          <w:rFonts w:ascii="David" w:hAnsi="David" w:cs="David"/>
          <w:color w:val="000000"/>
          <w:sz w:val="24"/>
          <w:szCs w:val="24"/>
          <w:rtl/>
        </w:rPr>
        <w:t>. בכלל טמא הפסול לקידוש, כל הטמא לענין אכילת מעשר-שני* - על מיני הטמאים הללו, ע"ע מעשר שני - שהנאמר בכל הפרשה "איש טהור", הוא הטהור למעשר שני</w:t>
      </w:r>
      <w:r>
        <w:rPr>
          <w:rFonts w:ascii="David" w:hAnsi="David" w:cs="David"/>
          <w:color w:val="0000FF"/>
          <w:sz w:val="24"/>
          <w:szCs w:val="24"/>
          <w:vertAlign w:val="superscript"/>
          <w:rtl/>
        </w:rPr>
        <w:footnoteReference w:customMarkFollows="1" w:id="603"/>
        <w:t>603</w:t>
      </w:r>
      <w:r>
        <w:rPr>
          <w:rFonts w:ascii="David" w:hAnsi="David" w:cs="David"/>
          <w:color w:val="000000"/>
          <w:sz w:val="24"/>
          <w:szCs w:val="24"/>
          <w:rtl/>
        </w:rPr>
        <w:t>, אבל טבול-יום* - שטבל ולא העריב שמשו</w:t>
      </w:r>
      <w:r>
        <w:rPr>
          <w:rFonts w:ascii="David" w:hAnsi="David" w:cs="David"/>
          <w:color w:val="0000FF"/>
          <w:sz w:val="24"/>
          <w:szCs w:val="24"/>
          <w:vertAlign w:val="superscript"/>
          <w:rtl/>
        </w:rPr>
        <w:footnoteReference w:customMarkFollows="1" w:id="604"/>
        <w:t>604</w:t>
      </w:r>
      <w:r>
        <w:rPr>
          <w:rFonts w:ascii="David" w:hAnsi="David" w:cs="David"/>
          <w:color w:val="000000"/>
          <w:sz w:val="24"/>
          <w:szCs w:val="24"/>
          <w:rtl/>
        </w:rPr>
        <w:t xml:space="preserve"> - הטהור למעשר שני, אף על פי שאינו טהור לאכילת -תרומה*</w:t>
      </w:r>
      <w:r>
        <w:rPr>
          <w:rFonts w:ascii="David" w:hAnsi="David" w:cs="David"/>
          <w:color w:val="0000FF"/>
          <w:sz w:val="24"/>
          <w:szCs w:val="24"/>
          <w:vertAlign w:val="superscript"/>
          <w:rtl/>
        </w:rPr>
        <w:footnoteReference w:customMarkFollows="1" w:id="605"/>
        <w:t>605</w:t>
      </w:r>
      <w:r>
        <w:rPr>
          <w:rFonts w:ascii="David" w:hAnsi="David" w:cs="David"/>
          <w:color w:val="000000"/>
          <w:sz w:val="24"/>
          <w:szCs w:val="24"/>
          <w:rtl/>
        </w:rPr>
        <w:t>, כשר לקידוש</w:t>
      </w:r>
      <w:r>
        <w:rPr>
          <w:rFonts w:ascii="David" w:hAnsi="David" w:cs="David"/>
          <w:color w:val="0000FF"/>
          <w:sz w:val="24"/>
          <w:szCs w:val="24"/>
          <w:vertAlign w:val="superscript"/>
          <w:rtl/>
        </w:rPr>
        <w:footnoteReference w:customMarkFollows="1" w:id="606"/>
        <w:t>606</w:t>
      </w:r>
      <w:r>
        <w:rPr>
          <w:rFonts w:ascii="David" w:hAnsi="David" w:cs="David"/>
          <w:color w:val="000000"/>
          <w:sz w:val="24"/>
          <w:szCs w:val="24"/>
          <w:rtl/>
        </w:rPr>
        <w:t>. על המקור שטבול יום הוא בכלל איש טהור, ע"ע טבול יום</w:t>
      </w:r>
      <w:r>
        <w:rPr>
          <w:rFonts w:ascii="David" w:hAnsi="David" w:cs="David"/>
          <w:color w:val="0000FF"/>
          <w:sz w:val="24"/>
          <w:szCs w:val="24"/>
          <w:vertAlign w:val="superscript"/>
          <w:rtl/>
        </w:rPr>
        <w:footnoteReference w:customMarkFollows="1" w:id="607"/>
        <w:t>607</w:t>
      </w:r>
      <w:r>
        <w:rPr>
          <w:rFonts w:ascii="David" w:hAnsi="David" w:cs="David"/>
          <w:color w:val="000000"/>
          <w:sz w:val="24"/>
          <w:szCs w:val="24"/>
          <w:rtl/>
        </w:rPr>
        <w:t>. על דין מחוסר-כפרה*, ע"ע</w:t>
      </w:r>
      <w:r>
        <w:rPr>
          <w:rFonts w:ascii="David" w:hAnsi="David" w:cs="David"/>
          <w:color w:val="0000FF"/>
          <w:sz w:val="24"/>
          <w:szCs w:val="24"/>
          <w:vertAlign w:val="superscript"/>
          <w:rtl/>
        </w:rPr>
        <w:footnoteReference w:customMarkFollows="1" w:id="608"/>
        <w:t>608</w:t>
      </w:r>
      <w:r>
        <w:rPr>
          <w:rFonts w:ascii="David" w:hAnsi="David" w:cs="David"/>
          <w:color w:val="000000"/>
          <w:sz w:val="24"/>
          <w:szCs w:val="24"/>
          <w:rtl/>
        </w:rPr>
        <w:t>. על כך שאף אדם טהור, כל שלא טבל לחטאת דינו כטמא, עי' להלן: פסולם מחמת טומאה</w:t>
      </w:r>
      <w:r>
        <w:rPr>
          <w:rFonts w:ascii="David" w:hAnsi="David" w:cs="David"/>
          <w:color w:val="0000FF"/>
          <w:sz w:val="24"/>
          <w:szCs w:val="24"/>
          <w:vertAlign w:val="superscript"/>
          <w:rtl/>
        </w:rPr>
        <w:footnoteReference w:customMarkFollows="1" w:id="609"/>
        <w:t>609</w:t>
      </w:r>
      <w:r>
        <w:rPr>
          <w:rFonts w:ascii="David" w:hAnsi="David" w:cs="David"/>
          <w:color w:val="000000"/>
          <w:sz w:val="24"/>
          <w:szCs w:val="24"/>
          <w:rtl/>
        </w:rPr>
        <w:t xml:space="preserve">. </w:t>
      </w:r>
    </w:p>
    <w:p w14:paraId="0A430F2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[ערל]</w:t>
      </w:r>
    </w:p>
    <w:p w14:paraId="49A854C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ערל*, וכן טומטום* שהוא ספק ערל</w:t>
      </w:r>
      <w:r>
        <w:rPr>
          <w:rFonts w:ascii="David" w:hAnsi="David" w:cs="David"/>
          <w:color w:val="0000FF"/>
          <w:sz w:val="24"/>
          <w:szCs w:val="24"/>
          <w:vertAlign w:val="superscript"/>
          <w:rtl/>
        </w:rPr>
        <w:footnoteReference w:customMarkFollows="1" w:id="610"/>
        <w:t>610</w:t>
      </w:r>
      <w:r>
        <w:rPr>
          <w:rFonts w:ascii="David" w:hAnsi="David" w:cs="David"/>
          <w:color w:val="000000"/>
          <w:sz w:val="24"/>
          <w:szCs w:val="24"/>
          <w:rtl/>
        </w:rPr>
        <w:t>, שנינו בתוספתא שהם פסולים לקדש</w:t>
      </w:r>
      <w:r>
        <w:rPr>
          <w:rFonts w:ascii="David" w:hAnsi="David" w:cs="David"/>
          <w:color w:val="0000FF"/>
          <w:sz w:val="24"/>
          <w:szCs w:val="24"/>
          <w:vertAlign w:val="superscript"/>
          <w:rtl/>
        </w:rPr>
        <w:footnoteReference w:customMarkFollows="1" w:id="611"/>
        <w:t>611</w:t>
      </w:r>
      <w:r>
        <w:rPr>
          <w:rFonts w:ascii="David" w:hAnsi="David" w:cs="David"/>
          <w:color w:val="000000"/>
          <w:sz w:val="24"/>
          <w:szCs w:val="24"/>
          <w:rtl/>
        </w:rPr>
        <w:t>, ואמר רב יוסף שלא שנו כן אלא לדעת ר' עקיבא, הסובר שערל כטמא</w:t>
      </w:r>
      <w:r>
        <w:rPr>
          <w:rFonts w:ascii="David" w:hAnsi="David" w:cs="David"/>
          <w:color w:val="0000FF"/>
          <w:sz w:val="24"/>
          <w:szCs w:val="24"/>
          <w:vertAlign w:val="superscript"/>
          <w:rtl/>
        </w:rPr>
        <w:footnoteReference w:customMarkFollows="1" w:id="612"/>
        <w:t>612</w:t>
      </w:r>
      <w:r>
        <w:rPr>
          <w:rFonts w:ascii="David" w:hAnsi="David" w:cs="David"/>
          <w:color w:val="000000"/>
          <w:sz w:val="24"/>
          <w:szCs w:val="24"/>
          <w:rtl/>
        </w:rPr>
        <w:t>, אבל לסוברים שאינו כטמא</w:t>
      </w:r>
      <w:r>
        <w:rPr>
          <w:rFonts w:ascii="David" w:hAnsi="David" w:cs="David"/>
          <w:color w:val="0000FF"/>
          <w:sz w:val="24"/>
          <w:szCs w:val="24"/>
          <w:vertAlign w:val="superscript"/>
          <w:rtl/>
        </w:rPr>
        <w:footnoteReference w:customMarkFollows="1" w:id="613"/>
        <w:t>613</w:t>
      </w:r>
      <w:r>
        <w:rPr>
          <w:rFonts w:ascii="David" w:hAnsi="David" w:cs="David"/>
          <w:color w:val="000000"/>
          <w:sz w:val="24"/>
          <w:szCs w:val="24"/>
          <w:rtl/>
        </w:rPr>
        <w:t>, קידושו כשר, שאינו גרוע מטבול יום הכשר לקידוש</w:t>
      </w:r>
      <w:r>
        <w:rPr>
          <w:rFonts w:ascii="David" w:hAnsi="David" w:cs="David"/>
          <w:color w:val="0000FF"/>
          <w:sz w:val="24"/>
          <w:szCs w:val="24"/>
          <w:vertAlign w:val="superscript"/>
          <w:rtl/>
        </w:rPr>
        <w:footnoteReference w:customMarkFollows="1" w:id="614"/>
        <w:t>614</w:t>
      </w:r>
      <w:r>
        <w:rPr>
          <w:rFonts w:ascii="David" w:hAnsi="David" w:cs="David"/>
          <w:color w:val="000000"/>
          <w:sz w:val="24"/>
          <w:szCs w:val="24"/>
          <w:rtl/>
        </w:rPr>
        <w:t>, ויש סוברים בדעת רבא שהוא חולק על רב יוסף, וסובר שאין לפסול משום שהערל כטמא, שלדברי הכל ערל אינו כטמא לגמרי, ושלדעתו נחלקו תנאים בדין קידוש ערל, שיש סוברים שערל כשר לקידוש, ודעת התוספתא שפסול הוא לקידוש, שחומר הוא שהחמירו בפרה לפסלו</w:t>
      </w:r>
      <w:r>
        <w:rPr>
          <w:rFonts w:ascii="David" w:hAnsi="David" w:cs="David"/>
          <w:color w:val="0000FF"/>
          <w:sz w:val="24"/>
          <w:szCs w:val="24"/>
          <w:vertAlign w:val="superscript"/>
          <w:rtl/>
        </w:rPr>
        <w:footnoteReference w:customMarkFollows="1" w:id="615"/>
        <w:t>615</w:t>
      </w:r>
      <w:r>
        <w:rPr>
          <w:rFonts w:ascii="David" w:hAnsi="David" w:cs="David"/>
          <w:color w:val="000000"/>
          <w:sz w:val="24"/>
          <w:szCs w:val="24"/>
          <w:rtl/>
        </w:rPr>
        <w:t>, והוא פסול אף לסוברים שערל אינו כטמא כלל</w:t>
      </w:r>
      <w:r>
        <w:rPr>
          <w:rFonts w:ascii="David" w:hAnsi="David" w:cs="David"/>
          <w:color w:val="0000FF"/>
          <w:sz w:val="24"/>
          <w:szCs w:val="24"/>
          <w:vertAlign w:val="superscript"/>
          <w:rtl/>
        </w:rPr>
        <w:footnoteReference w:customMarkFollows="1" w:id="616"/>
        <w:t>616</w:t>
      </w:r>
      <w:r>
        <w:rPr>
          <w:rFonts w:ascii="David" w:hAnsi="David" w:cs="David"/>
          <w:color w:val="000000"/>
          <w:sz w:val="24"/>
          <w:szCs w:val="24"/>
          <w:rtl/>
        </w:rPr>
        <w:t xml:space="preserve">. </w:t>
      </w:r>
    </w:p>
    <w:p w14:paraId="59C956C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[נעילת סנדל]</w:t>
      </w:r>
    </w:p>
    <w:p w14:paraId="1C13974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המקדש מי חטאת לא ינעול את הסנדל, שמא יפלו משקים על הסנדל ויטמאוהו, ויחזור הסנדל ויטמא את המקדש</w:t>
      </w:r>
      <w:r>
        <w:rPr>
          <w:rFonts w:ascii="David" w:hAnsi="David" w:cs="David"/>
          <w:color w:val="0000FF"/>
          <w:sz w:val="24"/>
          <w:szCs w:val="24"/>
          <w:vertAlign w:val="superscript"/>
          <w:rtl/>
        </w:rPr>
        <w:footnoteReference w:customMarkFollows="1" w:id="617"/>
        <w:t>617</w:t>
      </w:r>
      <w:r>
        <w:rPr>
          <w:rFonts w:ascii="David" w:hAnsi="David" w:cs="David"/>
          <w:color w:val="000000"/>
          <w:sz w:val="24"/>
          <w:szCs w:val="24"/>
          <w:rtl/>
        </w:rPr>
        <w:t>, וכתבו אחרונים, שאם נעל סנדל, כל שלא ראה שנפלו עליו משקים, בדיעבד לא נפסל הקידוש</w:t>
      </w:r>
      <w:r>
        <w:rPr>
          <w:rFonts w:ascii="David" w:hAnsi="David" w:cs="David"/>
          <w:color w:val="0000FF"/>
          <w:sz w:val="24"/>
          <w:szCs w:val="24"/>
          <w:vertAlign w:val="superscript"/>
          <w:rtl/>
        </w:rPr>
        <w:footnoteReference w:customMarkFollows="1" w:id="618"/>
        <w:t>618</w:t>
      </w:r>
      <w:r>
        <w:rPr>
          <w:rFonts w:ascii="David" w:hAnsi="David" w:cs="David"/>
          <w:color w:val="000000"/>
          <w:sz w:val="24"/>
          <w:szCs w:val="24"/>
          <w:rtl/>
        </w:rPr>
        <w:t xml:space="preserve">, על טעם הטומאה שיטמא הסנדל והמקדש, ועל מחלוקת הראשונים אם החשש שיפלו על הסנדל כל משקים, או שלא חששו אלא שיפלו עליו ממי החטאת, ע"ע מעלות. </w:t>
      </w:r>
    </w:p>
    <w:p w14:paraId="369FE12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[קידוש במי חטאת]</w:t>
      </w:r>
    </w:p>
    <w:p w14:paraId="2E8D64E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אין מי חטאת מקדשים מים אחרים, שאם היו בכלי מים הראויים לקידוש, והוסיף עליהם מי חטאת, אין המים הראשונים מתקדשים</w:t>
      </w:r>
      <w:r>
        <w:rPr>
          <w:rFonts w:ascii="David" w:hAnsi="David" w:cs="David"/>
          <w:color w:val="0000FF"/>
          <w:sz w:val="24"/>
          <w:szCs w:val="24"/>
          <w:vertAlign w:val="superscript"/>
          <w:rtl/>
        </w:rPr>
        <w:footnoteReference w:customMarkFollows="1" w:id="619"/>
        <w:t>619</w:t>
      </w:r>
      <w:r>
        <w:rPr>
          <w:rFonts w:ascii="David" w:hAnsi="David" w:cs="David"/>
          <w:color w:val="000000"/>
          <w:sz w:val="24"/>
          <w:szCs w:val="24"/>
          <w:rtl/>
        </w:rPr>
        <w:t xml:space="preserve"> - על כך שהמים המקודשים נפסלים בתערובת מים שאינם מקודשים, עי' להלן: פסולם על ידי תערובת</w:t>
      </w:r>
      <w:r>
        <w:rPr>
          <w:rFonts w:ascii="David" w:hAnsi="David" w:cs="David"/>
          <w:color w:val="0000FF"/>
          <w:sz w:val="24"/>
          <w:szCs w:val="24"/>
          <w:vertAlign w:val="superscript"/>
          <w:rtl/>
        </w:rPr>
        <w:footnoteReference w:customMarkFollows="1" w:id="620"/>
        <w:t>620</w:t>
      </w:r>
      <w:r>
        <w:rPr>
          <w:rFonts w:ascii="David" w:hAnsi="David" w:cs="David"/>
          <w:color w:val="000000"/>
          <w:sz w:val="24"/>
          <w:szCs w:val="24"/>
          <w:rtl/>
        </w:rPr>
        <w:t xml:space="preserve"> - ואף על פי שמעורב במי החטאת אפר חטאת, שכל זמן </w:t>
      </w:r>
    </w:p>
    <w:p w14:paraId="016462D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שהאפר עם המים אינו נקרא אפר, אלא הם נקראים ביחד מי חטאת</w:t>
      </w:r>
      <w:r>
        <w:rPr>
          <w:rFonts w:ascii="David" w:hAnsi="David" w:cs="David"/>
          <w:color w:val="0000FF"/>
          <w:sz w:val="24"/>
          <w:szCs w:val="24"/>
          <w:vertAlign w:val="superscript"/>
          <w:rtl/>
        </w:rPr>
        <w:footnoteReference w:customMarkFollows="1" w:id="621"/>
        <w:t>621</w:t>
      </w:r>
      <w:r>
        <w:rPr>
          <w:rFonts w:ascii="David" w:hAnsi="David" w:cs="David"/>
          <w:color w:val="000000"/>
          <w:sz w:val="24"/>
          <w:szCs w:val="24"/>
          <w:rtl/>
        </w:rPr>
        <w:t>, ואין מי חטאת מקדשים מים אחרים, אלא אפר בלבד הוא המקדש</w:t>
      </w:r>
      <w:r>
        <w:rPr>
          <w:rFonts w:ascii="David" w:hAnsi="David" w:cs="David"/>
          <w:color w:val="0000FF"/>
          <w:sz w:val="24"/>
          <w:szCs w:val="24"/>
          <w:vertAlign w:val="superscript"/>
          <w:rtl/>
        </w:rPr>
        <w:footnoteReference w:customMarkFollows="1" w:id="622"/>
        <w:t>622</w:t>
      </w:r>
      <w:r>
        <w:rPr>
          <w:rFonts w:ascii="David" w:hAnsi="David" w:cs="David"/>
          <w:color w:val="000000"/>
          <w:sz w:val="24"/>
          <w:szCs w:val="24"/>
          <w:rtl/>
        </w:rPr>
        <w:t>. וכן אמרו במטביל כלי לחטאת כדי לתת לתוכו מים מקודשים, שצריך לנגבו מלחלוחית מי המקוה שבו, משום תערובת מים שאינם מקודשים, ואין אומרים שיכול לקדש אותה הלחלוחית על ידי מי החטאת שנותן לתוכה</w:t>
      </w:r>
      <w:r>
        <w:rPr>
          <w:rFonts w:ascii="David" w:hAnsi="David" w:cs="David"/>
          <w:color w:val="0000FF"/>
          <w:sz w:val="24"/>
          <w:szCs w:val="24"/>
          <w:vertAlign w:val="superscript"/>
          <w:rtl/>
        </w:rPr>
        <w:footnoteReference w:customMarkFollows="1" w:id="623"/>
        <w:t>623</w:t>
      </w:r>
      <w:r>
        <w:rPr>
          <w:rFonts w:ascii="David" w:hAnsi="David" w:cs="David"/>
          <w:color w:val="000000"/>
          <w:sz w:val="24"/>
          <w:szCs w:val="24"/>
          <w:rtl/>
        </w:rPr>
        <w:t>. ואף בדעת ר' שמעון, הסובר שהקדים אפר למים כשר</w:t>
      </w:r>
      <w:r>
        <w:rPr>
          <w:rFonts w:ascii="David" w:hAnsi="David" w:cs="David"/>
          <w:color w:val="0000FF"/>
          <w:sz w:val="24"/>
          <w:szCs w:val="24"/>
          <w:vertAlign w:val="superscript"/>
          <w:rtl/>
        </w:rPr>
        <w:footnoteReference w:customMarkFollows="1" w:id="624"/>
        <w:t>624</w:t>
      </w:r>
      <w:r>
        <w:rPr>
          <w:rFonts w:ascii="David" w:hAnsi="David" w:cs="David"/>
          <w:color w:val="000000"/>
          <w:sz w:val="24"/>
          <w:szCs w:val="24"/>
          <w:rtl/>
        </w:rPr>
        <w:t>, שנינו בתוספתא, שאם נתן את המים ואחר כך נתן את האפר, וראה שהאפר מרובה, והוסיף עליו מים אחרים, צריך קידוש שני, שאין מי חטאת עושים מי חטאת, אלא מתן אפר</w:t>
      </w:r>
      <w:r>
        <w:rPr>
          <w:rFonts w:ascii="David" w:hAnsi="David" w:cs="David"/>
          <w:color w:val="0000FF"/>
          <w:sz w:val="24"/>
          <w:szCs w:val="24"/>
          <w:vertAlign w:val="superscript"/>
          <w:rtl/>
        </w:rPr>
        <w:footnoteReference w:customMarkFollows="1" w:id="625"/>
        <w:t>625</w:t>
      </w:r>
      <w:r>
        <w:rPr>
          <w:rFonts w:ascii="David" w:hAnsi="David" w:cs="David"/>
          <w:color w:val="000000"/>
          <w:sz w:val="24"/>
          <w:szCs w:val="24"/>
          <w:rtl/>
        </w:rPr>
        <w:t>, היינו, שאין אומרים שיתקדשו המים שנתן באחרונה על גבי האפר, אף על פי שלדעתו נתינת מים על האפר מועילה, שכיון שנעשו הראשונים מי חטאת על ידי האפר, אינם מקדשים</w:t>
      </w:r>
      <w:r>
        <w:rPr>
          <w:rFonts w:ascii="David" w:hAnsi="David" w:cs="David"/>
          <w:color w:val="0000FF"/>
          <w:sz w:val="24"/>
          <w:szCs w:val="24"/>
          <w:vertAlign w:val="superscript"/>
          <w:rtl/>
        </w:rPr>
        <w:footnoteReference w:customMarkFollows="1" w:id="626"/>
        <w:t>626</w:t>
      </w:r>
      <w:r>
        <w:rPr>
          <w:rFonts w:ascii="David" w:hAnsi="David" w:cs="David"/>
          <w:color w:val="000000"/>
          <w:sz w:val="24"/>
          <w:szCs w:val="24"/>
          <w:rtl/>
        </w:rPr>
        <w:t>, וכן כתבו אחרונים, שמטעם זה שנינו, כשהיזה מן המים המקודשים עד שכלו כל המים, והאפר נשאר בשולי הכלי, שלדעת ר' מאיר ור' שמעון שיכולים לקדש באותו אפר</w:t>
      </w:r>
      <w:r>
        <w:rPr>
          <w:rFonts w:ascii="David" w:hAnsi="David" w:cs="David"/>
          <w:color w:val="0000FF"/>
          <w:sz w:val="24"/>
          <w:szCs w:val="24"/>
          <w:vertAlign w:val="superscript"/>
          <w:rtl/>
        </w:rPr>
        <w:footnoteReference w:customMarkFollows="1" w:id="627"/>
        <w:t>627</w:t>
      </w:r>
      <w:r>
        <w:rPr>
          <w:rFonts w:ascii="David" w:hAnsi="David" w:cs="David"/>
          <w:color w:val="000000"/>
          <w:sz w:val="24"/>
          <w:szCs w:val="24"/>
          <w:rtl/>
        </w:rPr>
        <w:t>, מנגב את האפר ומקדש בו</w:t>
      </w:r>
      <w:r>
        <w:rPr>
          <w:rFonts w:ascii="David" w:hAnsi="David" w:cs="David"/>
          <w:color w:val="0000FF"/>
          <w:sz w:val="24"/>
          <w:szCs w:val="24"/>
          <w:vertAlign w:val="superscript"/>
          <w:rtl/>
        </w:rPr>
        <w:footnoteReference w:customMarkFollows="1" w:id="628"/>
        <w:t>628</w:t>
      </w:r>
      <w:r>
        <w:rPr>
          <w:rFonts w:ascii="David" w:hAnsi="David" w:cs="David"/>
          <w:color w:val="000000"/>
          <w:sz w:val="24"/>
          <w:szCs w:val="24"/>
          <w:rtl/>
        </w:rPr>
        <w:t>, אבל בלא ניגוב אינו מקדש בו, לפי שאף לדעת ר' שמעון כל זמן שהוא מעורב במים, קרוי מי חטאת, ואין מי חטאת מקדשים מי חטאת</w:t>
      </w:r>
      <w:r>
        <w:rPr>
          <w:rFonts w:ascii="David" w:hAnsi="David" w:cs="David"/>
          <w:color w:val="0000FF"/>
          <w:sz w:val="24"/>
          <w:szCs w:val="24"/>
          <w:vertAlign w:val="superscript"/>
          <w:rtl/>
        </w:rPr>
        <w:footnoteReference w:customMarkFollows="1" w:id="629"/>
        <w:t>629</w:t>
      </w:r>
      <w:r>
        <w:rPr>
          <w:rFonts w:ascii="David" w:hAnsi="David" w:cs="David"/>
          <w:color w:val="000000"/>
          <w:sz w:val="24"/>
          <w:szCs w:val="24"/>
          <w:rtl/>
        </w:rPr>
        <w:t>. ונחלקו אחרונים: יש שכתבו שלא אמר ר' שמעון שהקדים אפר למים כשר אלא דוקא כשעירה את כל המים בבת אחת, שכולם מחוברים כדין נצוק*, והואיל וראשם נוגע באפר, הרי זה כמעשה קידוש לכל המים - כשיבואו לכלי</w:t>
      </w:r>
      <w:r>
        <w:rPr>
          <w:rFonts w:ascii="David" w:hAnsi="David" w:cs="David"/>
          <w:color w:val="0000FF"/>
          <w:sz w:val="24"/>
          <w:szCs w:val="24"/>
          <w:vertAlign w:val="superscript"/>
          <w:rtl/>
        </w:rPr>
        <w:footnoteReference w:customMarkFollows="1" w:id="630"/>
        <w:t>630</w:t>
      </w:r>
      <w:r>
        <w:rPr>
          <w:rFonts w:ascii="David" w:hAnsi="David" w:cs="David"/>
          <w:color w:val="000000"/>
          <w:sz w:val="24"/>
          <w:szCs w:val="24"/>
          <w:rtl/>
        </w:rPr>
        <w:t xml:space="preserve"> - אבל המערה ונפסק הקילוח, שוב אינו יכול לערות, שהאפר כבר נעשה מי חטאת, ושוב אינו מקדש</w:t>
      </w:r>
      <w:r>
        <w:rPr>
          <w:rFonts w:ascii="David" w:hAnsi="David" w:cs="David"/>
          <w:color w:val="0000FF"/>
          <w:sz w:val="24"/>
          <w:szCs w:val="24"/>
          <w:vertAlign w:val="superscript"/>
          <w:rtl/>
        </w:rPr>
        <w:footnoteReference w:customMarkFollows="1" w:id="631"/>
        <w:t>631</w:t>
      </w:r>
      <w:r>
        <w:rPr>
          <w:rFonts w:ascii="David" w:hAnsi="David" w:cs="David"/>
          <w:color w:val="000000"/>
          <w:sz w:val="24"/>
          <w:szCs w:val="24"/>
          <w:rtl/>
        </w:rPr>
        <w:t>. ויש שכתבו, שכשנתן מים על האפר, לדעת ר' שמעון יכול להוסיף מים ויתקדשו מחמת האפר, שבקידוש של מים על האפר לא נאמר הדין שאין מי חטאת עושים מי חטאת, שכך אופן הקידוש שנותן מים על האפר, ואף על פי שנעשו מי חטאת מוסיף מים, ודוקא כשנתן אפר על המים, ונעשו מי חטאת ובטל שם אפר, אינו יכול להוסיף מים על האפר</w:t>
      </w:r>
      <w:r>
        <w:rPr>
          <w:rFonts w:ascii="David" w:hAnsi="David" w:cs="David"/>
          <w:color w:val="0000FF"/>
          <w:sz w:val="24"/>
          <w:szCs w:val="24"/>
          <w:vertAlign w:val="superscript"/>
          <w:rtl/>
        </w:rPr>
        <w:footnoteReference w:customMarkFollows="1" w:id="632"/>
        <w:t>632</w:t>
      </w:r>
      <w:r>
        <w:rPr>
          <w:rFonts w:ascii="David" w:hAnsi="David" w:cs="David"/>
          <w:color w:val="000000"/>
          <w:sz w:val="24"/>
          <w:szCs w:val="24"/>
          <w:rtl/>
        </w:rPr>
        <w:t>, או שכשנתן אפר על המים, אי אפשר להוסיף עליהם מים, שכיון שאין מי חטאת מקדשים מי חטאת, והקידוש אינו אלא על ידי האפר, אי אפשר שיהיה יחד קידוש של אפר על המים ושל מים על האפר</w:t>
      </w:r>
      <w:r>
        <w:rPr>
          <w:rFonts w:ascii="David" w:hAnsi="David" w:cs="David"/>
          <w:color w:val="0000FF"/>
          <w:sz w:val="24"/>
          <w:szCs w:val="24"/>
          <w:vertAlign w:val="superscript"/>
          <w:rtl/>
        </w:rPr>
        <w:footnoteReference w:customMarkFollows="1" w:id="633"/>
        <w:t>633</w:t>
      </w:r>
      <w:r>
        <w:rPr>
          <w:rFonts w:ascii="David" w:hAnsi="David" w:cs="David"/>
          <w:color w:val="000000"/>
          <w:sz w:val="24"/>
          <w:szCs w:val="24"/>
          <w:rtl/>
        </w:rPr>
        <w:t xml:space="preserve">. </w:t>
      </w:r>
    </w:p>
    <w:p w14:paraId="0331583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[באפר שקידשו בו]</w:t>
      </w:r>
    </w:p>
    <w:p w14:paraId="1711AB4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אפר שקידשו בו מי חטאת, נחלקו בו </w:t>
      </w:r>
    </w:p>
    <w:p w14:paraId="1BE4360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תנאים: א) דעת חכמים שאין חוזרים ומקדשים בו</w:t>
      </w:r>
      <w:r>
        <w:rPr>
          <w:rFonts w:ascii="David" w:hAnsi="David" w:cs="David"/>
          <w:color w:val="0000FF"/>
          <w:sz w:val="24"/>
          <w:szCs w:val="24"/>
          <w:vertAlign w:val="superscript"/>
          <w:rtl/>
        </w:rPr>
        <w:footnoteReference w:customMarkFollows="1" w:id="634"/>
        <w:t>634</w:t>
      </w:r>
      <w:r>
        <w:rPr>
          <w:rFonts w:ascii="David" w:hAnsi="David" w:cs="David"/>
          <w:color w:val="000000"/>
          <w:sz w:val="24"/>
          <w:szCs w:val="24"/>
          <w:rtl/>
        </w:rPr>
        <w:t>. ולדעתם אם היה הקידוש - היינו אפר שהטיל אל תוך המים לקדשם</w:t>
      </w:r>
      <w:r>
        <w:rPr>
          <w:rFonts w:ascii="David" w:hAnsi="David" w:cs="David"/>
          <w:color w:val="0000FF"/>
          <w:sz w:val="24"/>
          <w:szCs w:val="24"/>
          <w:vertAlign w:val="superscript"/>
          <w:rtl/>
        </w:rPr>
        <w:footnoteReference w:customMarkFollows="1" w:id="635"/>
        <w:t>635</w:t>
      </w:r>
      <w:r>
        <w:rPr>
          <w:rFonts w:ascii="David" w:hAnsi="David" w:cs="David"/>
          <w:color w:val="000000"/>
          <w:sz w:val="24"/>
          <w:szCs w:val="24"/>
          <w:rtl/>
        </w:rPr>
        <w:t xml:space="preserve"> - צף על פני המים - ששם על המים אפר הרבה</w:t>
      </w:r>
      <w:r>
        <w:rPr>
          <w:rFonts w:ascii="David" w:hAnsi="David" w:cs="David"/>
          <w:color w:val="0000FF"/>
          <w:sz w:val="24"/>
          <w:szCs w:val="24"/>
          <w:vertAlign w:val="superscript"/>
          <w:rtl/>
        </w:rPr>
        <w:footnoteReference w:customMarkFollows="1" w:id="636"/>
        <w:t>636</w:t>
      </w:r>
      <w:r>
        <w:rPr>
          <w:rFonts w:ascii="David" w:hAnsi="David" w:cs="David"/>
          <w:color w:val="000000"/>
          <w:sz w:val="24"/>
          <w:szCs w:val="24"/>
          <w:rtl/>
        </w:rPr>
        <w:t xml:space="preserve"> - כל שנגע במים אין מקדשים בו</w:t>
      </w:r>
      <w:r>
        <w:rPr>
          <w:rFonts w:ascii="David" w:hAnsi="David" w:cs="David"/>
          <w:color w:val="0000FF"/>
          <w:sz w:val="24"/>
          <w:szCs w:val="24"/>
          <w:vertAlign w:val="superscript"/>
          <w:rtl/>
        </w:rPr>
        <w:footnoteReference w:customMarkFollows="1" w:id="637"/>
        <w:t>637</w:t>
      </w:r>
      <w:r>
        <w:rPr>
          <w:rFonts w:ascii="David" w:hAnsi="David" w:cs="David"/>
          <w:color w:val="000000"/>
          <w:sz w:val="24"/>
          <w:szCs w:val="24"/>
          <w:rtl/>
        </w:rPr>
        <w:t>, ואפילו קודם שעירב האפר עם המים</w:t>
      </w:r>
      <w:r>
        <w:rPr>
          <w:rFonts w:ascii="David" w:hAnsi="David" w:cs="David"/>
          <w:color w:val="0000FF"/>
          <w:sz w:val="24"/>
          <w:szCs w:val="24"/>
          <w:vertAlign w:val="superscript"/>
          <w:rtl/>
        </w:rPr>
        <w:footnoteReference w:customMarkFollows="1" w:id="638"/>
        <w:t>638</w:t>
      </w:r>
      <w:r>
        <w:rPr>
          <w:rFonts w:ascii="David" w:hAnsi="David" w:cs="David"/>
          <w:color w:val="000000"/>
          <w:sz w:val="24"/>
          <w:szCs w:val="24"/>
          <w:rtl/>
        </w:rPr>
        <w:t>, ואפילו ניגב את המים מן האפר</w:t>
      </w:r>
      <w:r>
        <w:rPr>
          <w:rFonts w:ascii="David" w:hAnsi="David" w:cs="David"/>
          <w:color w:val="0000FF"/>
          <w:sz w:val="24"/>
          <w:szCs w:val="24"/>
          <w:vertAlign w:val="superscript"/>
          <w:rtl/>
        </w:rPr>
        <w:footnoteReference w:customMarkFollows="1" w:id="639"/>
        <w:t>639</w:t>
      </w:r>
      <w:r>
        <w:rPr>
          <w:rFonts w:ascii="David" w:hAnsi="David" w:cs="David"/>
          <w:color w:val="000000"/>
          <w:sz w:val="24"/>
          <w:szCs w:val="24"/>
          <w:rtl/>
        </w:rPr>
        <w:t>, אבל אם היה בו אפר הצבור על פני המים ואינו נוגע בהם, נוטלו ומקדש בו מים אחרים אף לדעת חכמים</w:t>
      </w:r>
      <w:r>
        <w:rPr>
          <w:rFonts w:ascii="David" w:hAnsi="David" w:cs="David"/>
          <w:color w:val="0000FF"/>
          <w:sz w:val="24"/>
          <w:szCs w:val="24"/>
          <w:vertAlign w:val="superscript"/>
          <w:rtl/>
        </w:rPr>
        <w:footnoteReference w:customMarkFollows="1" w:id="640"/>
        <w:t>640</w:t>
      </w:r>
      <w:r>
        <w:rPr>
          <w:rFonts w:ascii="David" w:hAnsi="David" w:cs="David"/>
          <w:color w:val="000000"/>
          <w:sz w:val="24"/>
          <w:szCs w:val="24"/>
          <w:rtl/>
        </w:rPr>
        <w:t>, שעל האפר היבש לא חל שם קידוש</w:t>
      </w:r>
      <w:r>
        <w:rPr>
          <w:rFonts w:ascii="David" w:hAnsi="David" w:cs="David"/>
          <w:color w:val="0000FF"/>
          <w:sz w:val="24"/>
          <w:szCs w:val="24"/>
          <w:vertAlign w:val="superscript"/>
          <w:rtl/>
        </w:rPr>
        <w:footnoteReference w:customMarkFollows="1" w:id="641"/>
        <w:t>641</w:t>
      </w:r>
      <w:r>
        <w:rPr>
          <w:rFonts w:ascii="David" w:hAnsi="David" w:cs="David"/>
          <w:color w:val="000000"/>
          <w:sz w:val="24"/>
          <w:szCs w:val="24"/>
          <w:rtl/>
        </w:rPr>
        <w:t>, ויש שכתבו שלדעת חכמים אף האפר שאינו נוגע במים בכלל הפסול</w:t>
      </w:r>
      <w:r>
        <w:rPr>
          <w:rFonts w:ascii="David" w:hAnsi="David" w:cs="David"/>
          <w:color w:val="0000FF"/>
          <w:sz w:val="24"/>
          <w:szCs w:val="24"/>
          <w:vertAlign w:val="superscript"/>
          <w:rtl/>
        </w:rPr>
        <w:footnoteReference w:customMarkFollows="1" w:id="642"/>
        <w:t>642</w:t>
      </w:r>
      <w:r>
        <w:rPr>
          <w:rFonts w:ascii="David" w:hAnsi="David" w:cs="David"/>
          <w:color w:val="000000"/>
          <w:sz w:val="24"/>
          <w:szCs w:val="24"/>
          <w:rtl/>
        </w:rPr>
        <w:t>, הואיל והוא מחובר לאפר התחתון הנוגע במים</w:t>
      </w:r>
      <w:r>
        <w:rPr>
          <w:rFonts w:ascii="David" w:hAnsi="David" w:cs="David"/>
          <w:color w:val="0000FF"/>
          <w:sz w:val="24"/>
          <w:szCs w:val="24"/>
          <w:vertAlign w:val="superscript"/>
          <w:rtl/>
        </w:rPr>
        <w:footnoteReference w:customMarkFollows="1" w:id="643"/>
        <w:t>643</w:t>
      </w:r>
      <w:r>
        <w:rPr>
          <w:rFonts w:ascii="David" w:hAnsi="David" w:cs="David"/>
          <w:color w:val="000000"/>
          <w:sz w:val="24"/>
          <w:szCs w:val="24"/>
          <w:rtl/>
        </w:rPr>
        <w:t>. וכל שכן אם היזה מן המים המקודשים עד שכלו כל המים, והאפר נשאר בשולי הכלי</w:t>
      </w:r>
      <w:r>
        <w:rPr>
          <w:rFonts w:ascii="David" w:hAnsi="David" w:cs="David"/>
          <w:color w:val="0000FF"/>
          <w:sz w:val="24"/>
          <w:szCs w:val="24"/>
          <w:vertAlign w:val="superscript"/>
          <w:rtl/>
        </w:rPr>
        <w:footnoteReference w:customMarkFollows="1" w:id="644"/>
        <w:t>644</w:t>
      </w:r>
      <w:r>
        <w:rPr>
          <w:rFonts w:ascii="David" w:hAnsi="David" w:cs="David"/>
          <w:color w:val="000000"/>
          <w:sz w:val="24"/>
          <w:szCs w:val="24"/>
          <w:rtl/>
        </w:rPr>
        <w:t>, שהיה שרוי במים ביותר</w:t>
      </w:r>
      <w:r>
        <w:rPr>
          <w:rFonts w:ascii="David" w:hAnsi="David" w:cs="David"/>
          <w:color w:val="0000FF"/>
          <w:sz w:val="24"/>
          <w:szCs w:val="24"/>
          <w:vertAlign w:val="superscript"/>
          <w:rtl/>
        </w:rPr>
        <w:footnoteReference w:customMarkFollows="1" w:id="645"/>
        <w:t>645</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646"/>
        <w:t>646</w:t>
      </w:r>
      <w:r>
        <w:rPr>
          <w:rFonts w:ascii="David" w:hAnsi="David" w:cs="David"/>
          <w:color w:val="000000"/>
          <w:sz w:val="24"/>
          <w:szCs w:val="24"/>
          <w:rtl/>
        </w:rPr>
        <w:t>. ובטעמם, יש מן האחרונים שפירשו שמצותו של האפר לקדש בו את המים, ומשנעשית מצותו הוא פסול לקדש בו, כשם שהמים משנעשית מצותם פסולים להזאה*</w:t>
      </w:r>
      <w:r>
        <w:rPr>
          <w:rFonts w:ascii="David" w:hAnsi="David" w:cs="David"/>
          <w:color w:val="0000FF"/>
          <w:sz w:val="24"/>
          <w:szCs w:val="24"/>
          <w:vertAlign w:val="superscript"/>
          <w:rtl/>
        </w:rPr>
        <w:footnoteReference w:customMarkFollows="1" w:id="647"/>
        <w:t>647</w:t>
      </w:r>
      <w:r>
        <w:rPr>
          <w:rFonts w:ascii="David" w:hAnsi="David" w:cs="David"/>
          <w:color w:val="000000"/>
          <w:sz w:val="24"/>
          <w:szCs w:val="24"/>
          <w:rtl/>
        </w:rPr>
        <w:t>, ויש שכתבו, שלדעתם משעה שנגע האפר במים בטל מתורת אפר ונעשה מי חטאת, ואין מי חטאת עושים מי חטאת</w:t>
      </w:r>
      <w:r>
        <w:rPr>
          <w:rFonts w:ascii="David" w:hAnsi="David" w:cs="David"/>
          <w:color w:val="0000FF"/>
          <w:sz w:val="24"/>
          <w:szCs w:val="24"/>
          <w:vertAlign w:val="superscript"/>
          <w:rtl/>
        </w:rPr>
        <w:footnoteReference w:customMarkFollows="1" w:id="648"/>
        <w:t>648</w:t>
      </w:r>
      <w:r>
        <w:rPr>
          <w:rFonts w:ascii="David" w:hAnsi="David" w:cs="David"/>
          <w:color w:val="000000"/>
          <w:sz w:val="24"/>
          <w:szCs w:val="24"/>
          <w:rtl/>
        </w:rPr>
        <w:t>, ויש שכתבו שדרשו כן משינוי לשון הכתוב, שנאמר: ונתן עליו</w:t>
      </w:r>
      <w:r>
        <w:rPr>
          <w:rFonts w:ascii="David" w:hAnsi="David" w:cs="David"/>
          <w:color w:val="0000FF"/>
          <w:sz w:val="24"/>
          <w:szCs w:val="24"/>
          <w:vertAlign w:val="superscript"/>
          <w:rtl/>
        </w:rPr>
        <w:footnoteReference w:customMarkFollows="1" w:id="649"/>
        <w:t>649</w:t>
      </w:r>
      <w:r>
        <w:rPr>
          <w:rFonts w:ascii="David" w:hAnsi="David" w:cs="David"/>
          <w:color w:val="000000"/>
          <w:sz w:val="24"/>
          <w:szCs w:val="24"/>
          <w:rtl/>
        </w:rPr>
        <w:t>, ולא נאמר "על האפר", ומשמע שנותן פעם אחת על אפר זה, ואין אפר אחד ניתן במים שני פעמים</w:t>
      </w:r>
      <w:r>
        <w:rPr>
          <w:rFonts w:ascii="David" w:hAnsi="David" w:cs="David"/>
          <w:color w:val="0000FF"/>
          <w:sz w:val="24"/>
          <w:szCs w:val="24"/>
          <w:vertAlign w:val="superscript"/>
          <w:rtl/>
        </w:rPr>
        <w:footnoteReference w:customMarkFollows="1" w:id="650"/>
        <w:t>650</w:t>
      </w:r>
      <w:r>
        <w:rPr>
          <w:rFonts w:ascii="David" w:hAnsi="David" w:cs="David"/>
          <w:color w:val="000000"/>
          <w:sz w:val="24"/>
          <w:szCs w:val="24"/>
          <w:rtl/>
        </w:rPr>
        <w:t>. ב) ודעת ר' מאיר ור' שמעון, שחוזרים ומקדשים בו</w:t>
      </w:r>
      <w:r>
        <w:rPr>
          <w:rFonts w:ascii="David" w:hAnsi="David" w:cs="David"/>
          <w:color w:val="0000FF"/>
          <w:sz w:val="24"/>
          <w:szCs w:val="24"/>
          <w:vertAlign w:val="superscript"/>
          <w:rtl/>
        </w:rPr>
        <w:footnoteReference w:customMarkFollows="1" w:id="651"/>
        <w:t>651</w:t>
      </w:r>
      <w:r>
        <w:rPr>
          <w:rFonts w:ascii="David" w:hAnsi="David" w:cs="David"/>
          <w:color w:val="000000"/>
          <w:sz w:val="24"/>
          <w:szCs w:val="24"/>
          <w:rtl/>
        </w:rPr>
        <w:t>. ולדעתם אם היה קידוש צף על המים נוטל ומקדש</w:t>
      </w:r>
      <w:r>
        <w:rPr>
          <w:rFonts w:ascii="David" w:hAnsi="David" w:cs="David"/>
          <w:color w:val="0000FF"/>
          <w:sz w:val="24"/>
          <w:szCs w:val="24"/>
          <w:vertAlign w:val="superscript"/>
          <w:rtl/>
        </w:rPr>
        <w:footnoteReference w:customMarkFollows="1" w:id="652"/>
        <w:t>652</w:t>
      </w:r>
      <w:r>
        <w:rPr>
          <w:rFonts w:ascii="David" w:hAnsi="David" w:cs="David"/>
          <w:color w:val="000000"/>
          <w:sz w:val="24"/>
          <w:szCs w:val="24"/>
          <w:rtl/>
        </w:rPr>
        <w:t>, היינו, שחוזר ומקדש בו מים אחרים, ואפילו באותו האפר שנגע במים מקדש וחוזר ומקדש כמה פעמים</w:t>
      </w:r>
      <w:r>
        <w:rPr>
          <w:rFonts w:ascii="David" w:hAnsi="David" w:cs="David"/>
          <w:color w:val="0000FF"/>
          <w:sz w:val="24"/>
          <w:szCs w:val="24"/>
          <w:vertAlign w:val="superscript"/>
          <w:rtl/>
        </w:rPr>
        <w:footnoteReference w:customMarkFollows="1" w:id="653"/>
        <w:t>653</w:t>
      </w:r>
      <w:r>
        <w:rPr>
          <w:rFonts w:ascii="David" w:hAnsi="David" w:cs="David"/>
          <w:color w:val="000000"/>
          <w:sz w:val="24"/>
          <w:szCs w:val="24"/>
          <w:rtl/>
        </w:rPr>
        <w:t>, וכן חוזר ומקדש באפר שנשאר בשולי הכלי, לדעתם</w:t>
      </w:r>
      <w:r>
        <w:rPr>
          <w:rFonts w:ascii="David" w:hAnsi="David" w:cs="David"/>
          <w:color w:val="0000FF"/>
          <w:sz w:val="24"/>
          <w:szCs w:val="24"/>
          <w:vertAlign w:val="superscript"/>
          <w:rtl/>
        </w:rPr>
        <w:footnoteReference w:customMarkFollows="1" w:id="654"/>
        <w:t>654</w:t>
      </w:r>
      <w:r>
        <w:rPr>
          <w:rFonts w:ascii="David" w:hAnsi="David" w:cs="David"/>
          <w:color w:val="000000"/>
          <w:sz w:val="24"/>
          <w:szCs w:val="24"/>
          <w:rtl/>
        </w:rPr>
        <w:t>, אף על פי שהיה האפר כולו משוקע במים</w:t>
      </w:r>
      <w:r>
        <w:rPr>
          <w:rFonts w:ascii="David" w:hAnsi="David" w:cs="David"/>
          <w:color w:val="0000FF"/>
          <w:sz w:val="24"/>
          <w:szCs w:val="24"/>
          <w:vertAlign w:val="superscript"/>
          <w:rtl/>
        </w:rPr>
        <w:footnoteReference w:customMarkFollows="1" w:id="655"/>
        <w:t>655</w:t>
      </w:r>
      <w:r>
        <w:rPr>
          <w:rFonts w:ascii="David" w:hAnsi="David" w:cs="David"/>
          <w:color w:val="000000"/>
          <w:sz w:val="24"/>
          <w:szCs w:val="24"/>
          <w:rtl/>
        </w:rPr>
        <w:t>, ומכל מקום צריך לנגב את האפר מן המים שעליו</w:t>
      </w:r>
      <w:r>
        <w:rPr>
          <w:rFonts w:ascii="David" w:hAnsi="David" w:cs="David"/>
          <w:color w:val="0000FF"/>
          <w:sz w:val="24"/>
          <w:szCs w:val="24"/>
          <w:vertAlign w:val="superscript"/>
          <w:rtl/>
        </w:rPr>
        <w:footnoteReference w:customMarkFollows="1" w:id="656"/>
        <w:t>656</w:t>
      </w:r>
      <w:r>
        <w:rPr>
          <w:rFonts w:ascii="David" w:hAnsi="David" w:cs="David"/>
          <w:color w:val="000000"/>
          <w:sz w:val="24"/>
          <w:szCs w:val="24"/>
          <w:rtl/>
        </w:rPr>
        <w:t>. שלדעתם אין הקידוש מצוה אלא הכשר מצוה - שההזאה* היא עיקר המצוה - ועדיין לא נעשית מצותו</w:t>
      </w:r>
      <w:r>
        <w:rPr>
          <w:rFonts w:ascii="David" w:hAnsi="David" w:cs="David"/>
          <w:color w:val="0000FF"/>
          <w:sz w:val="24"/>
          <w:szCs w:val="24"/>
          <w:vertAlign w:val="superscript"/>
          <w:rtl/>
        </w:rPr>
        <w:footnoteReference w:customMarkFollows="1" w:id="657"/>
        <w:t>657</w:t>
      </w:r>
      <w:r>
        <w:rPr>
          <w:rFonts w:ascii="David" w:hAnsi="David" w:cs="David"/>
          <w:color w:val="000000"/>
          <w:sz w:val="24"/>
          <w:szCs w:val="24"/>
          <w:rtl/>
        </w:rPr>
        <w:t>, וכן לדעתם לאחר שניגב את האפר מן המים שוב אינו נידון כמי חטאת אלא כאפר שלא היה מעורב במים מעולם, אבל כשלא ניגב, אף לדעתם הוא נידון כמי חטאת, ואי אפשר לקדש בו</w:t>
      </w:r>
      <w:r>
        <w:rPr>
          <w:rFonts w:ascii="David" w:hAnsi="David" w:cs="David"/>
          <w:color w:val="0000FF"/>
          <w:sz w:val="24"/>
          <w:szCs w:val="24"/>
          <w:vertAlign w:val="superscript"/>
          <w:rtl/>
        </w:rPr>
        <w:footnoteReference w:customMarkFollows="1" w:id="658"/>
        <w:t>658</w:t>
      </w:r>
      <w:r>
        <w:rPr>
          <w:rFonts w:ascii="David" w:hAnsi="David" w:cs="David"/>
          <w:color w:val="000000"/>
          <w:sz w:val="24"/>
          <w:szCs w:val="24"/>
          <w:rtl/>
        </w:rPr>
        <w:t xml:space="preserve">. </w:t>
      </w:r>
    </w:p>
    <w:p w14:paraId="1CF90EA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[כשנתערב במים ולא קידש]</w:t>
      </w:r>
    </w:p>
    <w:p w14:paraId="19B3308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נשבה הרוח והפילה את האפר על גבי המים, יש סוברים שאף לדעת חכמים מנגבו ומקדש בו מים אחרים</w:t>
      </w:r>
      <w:r>
        <w:rPr>
          <w:rFonts w:ascii="David" w:hAnsi="David" w:cs="David"/>
          <w:color w:val="0000FF"/>
          <w:sz w:val="24"/>
          <w:szCs w:val="24"/>
          <w:vertAlign w:val="superscript"/>
          <w:rtl/>
        </w:rPr>
        <w:footnoteReference w:customMarkFollows="1" w:id="659"/>
        <w:t>659</w:t>
      </w:r>
      <w:r>
        <w:rPr>
          <w:rFonts w:ascii="David" w:hAnsi="David" w:cs="David"/>
          <w:color w:val="000000"/>
          <w:sz w:val="24"/>
          <w:szCs w:val="24"/>
          <w:rtl/>
        </w:rPr>
        <w:t>, שלא נחלקו אלא בנתינה העושה קידוש, וכאן הרוח נתנתו, ואין קידוש הרוח קידוש</w:t>
      </w:r>
      <w:r>
        <w:rPr>
          <w:rFonts w:ascii="David" w:hAnsi="David" w:cs="David"/>
          <w:color w:val="0000FF"/>
          <w:sz w:val="24"/>
          <w:szCs w:val="24"/>
          <w:vertAlign w:val="superscript"/>
          <w:rtl/>
        </w:rPr>
        <w:footnoteReference w:customMarkFollows="1" w:id="660"/>
        <w:t>660</w:t>
      </w:r>
      <w:r>
        <w:rPr>
          <w:rFonts w:ascii="David" w:hAnsi="David" w:cs="David"/>
          <w:color w:val="000000"/>
          <w:sz w:val="24"/>
          <w:szCs w:val="24"/>
          <w:rtl/>
        </w:rPr>
        <w:t xml:space="preserve">, והטעם שמכל מקום צריך לנגבו קודם שמקדש בו, לפי </w:t>
      </w:r>
    </w:p>
    <w:p w14:paraId="0A58D0A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שהמים שעליו לא יתקדשו בקידוש שני, שאין כאן נתינת אפר על גבי מים, ואף לא נתינת מים על גבי אפר - לסוברים שהיא כשרה</w:t>
      </w:r>
      <w:r>
        <w:rPr>
          <w:rFonts w:ascii="David" w:hAnsi="David" w:cs="David"/>
          <w:color w:val="0000FF"/>
          <w:sz w:val="24"/>
          <w:szCs w:val="24"/>
          <w:vertAlign w:val="superscript"/>
          <w:rtl/>
        </w:rPr>
        <w:footnoteReference w:customMarkFollows="1" w:id="661"/>
        <w:t>661</w:t>
      </w:r>
      <w:r>
        <w:rPr>
          <w:rFonts w:ascii="David" w:hAnsi="David" w:cs="David"/>
          <w:color w:val="000000"/>
          <w:sz w:val="24"/>
          <w:szCs w:val="24"/>
          <w:rtl/>
        </w:rPr>
        <w:t xml:space="preserve"> - ונמצא שהוא מערב מים פסולים, ופוסל את הקידוש</w:t>
      </w:r>
      <w:r>
        <w:rPr>
          <w:rFonts w:ascii="David" w:hAnsi="David" w:cs="David"/>
          <w:color w:val="0000FF"/>
          <w:sz w:val="24"/>
          <w:szCs w:val="24"/>
          <w:vertAlign w:val="superscript"/>
          <w:rtl/>
        </w:rPr>
        <w:footnoteReference w:customMarkFollows="1" w:id="662"/>
        <w:t>662</w:t>
      </w:r>
      <w:r>
        <w:rPr>
          <w:rFonts w:ascii="David" w:hAnsi="David" w:cs="David"/>
          <w:color w:val="000000"/>
          <w:sz w:val="24"/>
          <w:szCs w:val="24"/>
          <w:rtl/>
        </w:rPr>
        <w:t>. וכן אם עירב את האפר במים הפסולים לקידוש, יש מן האחרונים שכתבו, שאם מנגבו מן המים כשר</w:t>
      </w:r>
      <w:r>
        <w:rPr>
          <w:rFonts w:ascii="David" w:hAnsi="David" w:cs="David"/>
          <w:color w:val="0000FF"/>
          <w:sz w:val="24"/>
          <w:szCs w:val="24"/>
          <w:vertAlign w:val="superscript"/>
          <w:rtl/>
        </w:rPr>
        <w:footnoteReference w:customMarkFollows="1" w:id="663"/>
        <w:t>663</w:t>
      </w:r>
      <w:r>
        <w:rPr>
          <w:rFonts w:ascii="David" w:hAnsi="David" w:cs="David"/>
          <w:color w:val="000000"/>
          <w:sz w:val="24"/>
          <w:szCs w:val="24"/>
          <w:rtl/>
        </w:rPr>
        <w:t>, ודוקא כשהמים פסולים מן התורה, אבל אם עירב את האפר במים הפסולים לקידוש מדרבנן, נפסל לקידוש, כיון שמן התורה נתקדשו המים</w:t>
      </w:r>
      <w:r>
        <w:rPr>
          <w:rFonts w:ascii="David" w:hAnsi="David" w:cs="David"/>
          <w:color w:val="0000FF"/>
          <w:sz w:val="24"/>
          <w:szCs w:val="24"/>
          <w:vertAlign w:val="superscript"/>
          <w:rtl/>
        </w:rPr>
        <w:footnoteReference w:customMarkFollows="1" w:id="664"/>
        <w:t>664</w:t>
      </w:r>
      <w:r>
        <w:rPr>
          <w:rFonts w:ascii="David" w:hAnsi="David" w:cs="David"/>
          <w:color w:val="000000"/>
          <w:sz w:val="24"/>
          <w:szCs w:val="24"/>
          <w:rtl/>
        </w:rPr>
        <w:t>. ומכל מקום אם נתן את האפר במים לקדשם, ועדיין לא עירבו בהם, אף על פי שהמים לא נתקדשו - לסוברים שהמקדש צריך לערב את האפר במים</w:t>
      </w:r>
      <w:r>
        <w:rPr>
          <w:rFonts w:ascii="David" w:hAnsi="David" w:cs="David"/>
          <w:color w:val="0000FF"/>
          <w:sz w:val="24"/>
          <w:szCs w:val="24"/>
          <w:vertAlign w:val="superscript"/>
          <w:rtl/>
        </w:rPr>
        <w:footnoteReference w:customMarkFollows="1" w:id="665"/>
        <w:t>665</w:t>
      </w:r>
      <w:r>
        <w:rPr>
          <w:rFonts w:ascii="David" w:hAnsi="David" w:cs="David"/>
          <w:color w:val="000000"/>
          <w:sz w:val="24"/>
          <w:szCs w:val="24"/>
          <w:rtl/>
        </w:rPr>
        <w:t xml:space="preserve"> - נפסל האפר מלקדש בו מים אחרים, אף אם ינגבו</w:t>
      </w:r>
      <w:r>
        <w:rPr>
          <w:rFonts w:ascii="David" w:hAnsi="David" w:cs="David"/>
          <w:color w:val="0000FF"/>
          <w:sz w:val="24"/>
          <w:szCs w:val="24"/>
          <w:vertAlign w:val="superscript"/>
          <w:rtl/>
        </w:rPr>
        <w:footnoteReference w:customMarkFollows="1" w:id="666"/>
        <w:t>666</w:t>
      </w:r>
      <w:r>
        <w:rPr>
          <w:rFonts w:ascii="David" w:hAnsi="David" w:cs="David"/>
          <w:color w:val="000000"/>
          <w:sz w:val="24"/>
          <w:szCs w:val="24"/>
          <w:rtl/>
        </w:rPr>
        <w:t>, שאף על פי שהמים לא נתקדשו עד שיערב האפר, האפר נתקדש אף קודם העירוב, וכבר נעשתה באפר מצותו, ואינו חשוב אפר חטאת אלא מי חטאת</w:t>
      </w:r>
      <w:r>
        <w:rPr>
          <w:rFonts w:ascii="David" w:hAnsi="David" w:cs="David"/>
          <w:color w:val="0000FF"/>
          <w:sz w:val="24"/>
          <w:szCs w:val="24"/>
          <w:vertAlign w:val="superscript"/>
          <w:rtl/>
        </w:rPr>
        <w:footnoteReference w:customMarkFollows="1" w:id="667"/>
        <w:t>667</w:t>
      </w:r>
      <w:r>
        <w:rPr>
          <w:rFonts w:ascii="David" w:hAnsi="David" w:cs="David"/>
          <w:color w:val="000000"/>
          <w:sz w:val="24"/>
          <w:szCs w:val="24"/>
          <w:rtl/>
        </w:rPr>
        <w:t>. ויש מן הראשונים והאחרונים חולקים וסוברים שאם הפילה הרוח את האפר על גבי המים אינו מקדש באפר זה, אף כשניגבו</w:t>
      </w:r>
      <w:r>
        <w:rPr>
          <w:rFonts w:ascii="David" w:hAnsi="David" w:cs="David"/>
          <w:color w:val="0000FF"/>
          <w:sz w:val="24"/>
          <w:szCs w:val="24"/>
          <w:vertAlign w:val="superscript"/>
          <w:rtl/>
        </w:rPr>
        <w:footnoteReference w:customMarkFollows="1" w:id="668"/>
        <w:t>668</w:t>
      </w:r>
      <w:r>
        <w:rPr>
          <w:rFonts w:ascii="David" w:hAnsi="David" w:cs="David"/>
          <w:color w:val="000000"/>
          <w:sz w:val="24"/>
          <w:szCs w:val="24"/>
          <w:rtl/>
        </w:rPr>
        <w:t>. ובטעמם נחלקו אחרונים: יש שכתבו, שאף על פי שקידוש הרוח אינו קידוש להכשירו להזאה, חשוב הוא קידוש להחמיר ולפסלו מלקדש</w:t>
      </w:r>
      <w:r>
        <w:rPr>
          <w:rFonts w:ascii="David" w:hAnsi="David" w:cs="David"/>
          <w:color w:val="0000FF"/>
          <w:sz w:val="24"/>
          <w:szCs w:val="24"/>
          <w:vertAlign w:val="superscript"/>
          <w:rtl/>
        </w:rPr>
        <w:footnoteReference w:customMarkFollows="1" w:id="669"/>
        <w:t>669</w:t>
      </w:r>
      <w:r>
        <w:rPr>
          <w:rFonts w:ascii="David" w:hAnsi="David" w:cs="David"/>
          <w:color w:val="000000"/>
          <w:sz w:val="24"/>
          <w:szCs w:val="24"/>
          <w:rtl/>
        </w:rPr>
        <w:t>, ויש שצידדו לומר, שלדעה זו האפר נפסל מטעם דחוי* - על פסול זה, ע"ע דחוי: במצוות - שבשעה שיש מים עליו אינו ראוי לקדש, לפי שהמים חשובים כחציצה בין האפר למים האחרונים, וחציצה פוסלת בקידוש</w:t>
      </w:r>
      <w:r>
        <w:rPr>
          <w:rFonts w:ascii="David" w:hAnsi="David" w:cs="David"/>
          <w:color w:val="0000FF"/>
          <w:sz w:val="24"/>
          <w:szCs w:val="24"/>
          <w:vertAlign w:val="superscript"/>
          <w:rtl/>
        </w:rPr>
        <w:footnoteReference w:customMarkFollows="1" w:id="670"/>
        <w:t>670</w:t>
      </w:r>
      <w:r>
        <w:rPr>
          <w:rFonts w:ascii="David" w:hAnsi="David" w:cs="David"/>
          <w:color w:val="000000"/>
          <w:sz w:val="24"/>
          <w:szCs w:val="24"/>
          <w:rtl/>
        </w:rPr>
        <w:t>, ולפיכך אינו חוזר להכשרו אפילו לאחר שניגבו</w:t>
      </w:r>
      <w:r>
        <w:rPr>
          <w:rFonts w:ascii="David" w:hAnsi="David" w:cs="David"/>
          <w:color w:val="0000FF"/>
          <w:sz w:val="24"/>
          <w:szCs w:val="24"/>
          <w:vertAlign w:val="superscript"/>
          <w:rtl/>
        </w:rPr>
        <w:footnoteReference w:customMarkFollows="1" w:id="671"/>
        <w:t>671</w:t>
      </w:r>
      <w:r>
        <w:rPr>
          <w:rFonts w:ascii="David" w:hAnsi="David" w:cs="David"/>
          <w:color w:val="000000"/>
          <w:sz w:val="24"/>
          <w:szCs w:val="24"/>
          <w:rtl/>
        </w:rPr>
        <w:t>, וכן יש שכתבו שכשנתנו למים פסולים מן התורה, אין הניגוב מועיל שיוכל לקדש באפר</w:t>
      </w:r>
      <w:r>
        <w:rPr>
          <w:rFonts w:ascii="David" w:hAnsi="David" w:cs="David"/>
          <w:color w:val="0000FF"/>
          <w:sz w:val="24"/>
          <w:szCs w:val="24"/>
          <w:vertAlign w:val="superscript"/>
          <w:rtl/>
        </w:rPr>
        <w:footnoteReference w:customMarkFollows="1" w:id="672"/>
        <w:t>672</w:t>
      </w:r>
      <w:r>
        <w:rPr>
          <w:rFonts w:ascii="David" w:hAnsi="David" w:cs="David"/>
          <w:color w:val="000000"/>
          <w:sz w:val="24"/>
          <w:szCs w:val="24"/>
          <w:rtl/>
        </w:rPr>
        <w:t>. נתן האפר במים המקודשים כבר, כתבו אחרונים שלדברי הכל מנגבו ומקדש בו, ודוקא כשנתן מתחילה הרבה אפר, או אף כשהוסיף אפר קודם העירוב, חל על כולו שם קידוש</w:t>
      </w:r>
      <w:r>
        <w:rPr>
          <w:rFonts w:ascii="David" w:hAnsi="David" w:cs="David"/>
          <w:color w:val="0000FF"/>
          <w:sz w:val="24"/>
          <w:szCs w:val="24"/>
          <w:vertAlign w:val="superscript"/>
          <w:rtl/>
        </w:rPr>
        <w:footnoteReference w:customMarkFollows="1" w:id="673"/>
        <w:t>673</w:t>
      </w:r>
      <w:r>
        <w:rPr>
          <w:rFonts w:ascii="David" w:hAnsi="David" w:cs="David"/>
          <w:color w:val="000000"/>
          <w:sz w:val="24"/>
          <w:szCs w:val="24"/>
          <w:rtl/>
        </w:rPr>
        <w:t xml:space="preserve">. </w:t>
      </w:r>
    </w:p>
    <w:p w14:paraId="0C490AD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מים מקודשים ושאינם מקודשים שנתערבו, אם אפשר לקדשם על ידי נתינת אפר נוסף, עי' להלן: פסולם על ידי תערובת</w:t>
      </w:r>
      <w:r>
        <w:rPr>
          <w:rFonts w:ascii="David" w:hAnsi="David" w:cs="David"/>
          <w:color w:val="0000FF"/>
          <w:sz w:val="24"/>
          <w:szCs w:val="24"/>
          <w:vertAlign w:val="superscript"/>
          <w:rtl/>
        </w:rPr>
        <w:footnoteReference w:customMarkFollows="1" w:id="674"/>
        <w:t>674</w:t>
      </w:r>
      <w:r>
        <w:rPr>
          <w:rFonts w:ascii="David" w:hAnsi="David" w:cs="David"/>
          <w:color w:val="000000"/>
          <w:sz w:val="24"/>
          <w:szCs w:val="24"/>
          <w:rtl/>
        </w:rPr>
        <w:t xml:space="preserve">. </w:t>
      </w:r>
    </w:p>
    <w:p w14:paraId="6932BC5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[בשכר]</w:t>
      </w:r>
    </w:p>
    <w:p w14:paraId="5A6FC44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אסור ליטול שכר על הקידוש</w:t>
      </w:r>
      <w:r>
        <w:rPr>
          <w:rFonts w:ascii="David" w:hAnsi="David" w:cs="David"/>
          <w:color w:val="0000FF"/>
          <w:sz w:val="24"/>
          <w:szCs w:val="24"/>
          <w:vertAlign w:val="superscript"/>
          <w:rtl/>
        </w:rPr>
        <w:footnoteReference w:customMarkFollows="1" w:id="675"/>
        <w:t>675</w:t>
      </w:r>
      <w:r>
        <w:rPr>
          <w:rFonts w:ascii="David" w:hAnsi="David" w:cs="David"/>
          <w:color w:val="000000"/>
          <w:sz w:val="24"/>
          <w:szCs w:val="24"/>
          <w:rtl/>
        </w:rPr>
        <w:t xml:space="preserve">, שהדבר הוא בכלל איסור נטילת שכר לימוד תורה </w:t>
      </w:r>
    </w:p>
    <w:p w14:paraId="0CC9032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ומצוה</w:t>
      </w:r>
      <w:r>
        <w:rPr>
          <w:rFonts w:ascii="David" w:hAnsi="David" w:cs="David"/>
          <w:color w:val="0000FF"/>
          <w:sz w:val="24"/>
          <w:szCs w:val="24"/>
          <w:vertAlign w:val="superscript"/>
          <w:rtl/>
        </w:rPr>
        <w:footnoteReference w:customMarkFollows="1" w:id="676"/>
        <w:t>676</w:t>
      </w:r>
      <w:r>
        <w:rPr>
          <w:rFonts w:ascii="David" w:hAnsi="David" w:cs="David"/>
          <w:color w:val="000000"/>
          <w:sz w:val="24"/>
          <w:szCs w:val="24"/>
          <w:rtl/>
        </w:rPr>
        <w:t>, שאין ליטול שכר על גוף המצוה ללמדה ולעשותה</w:t>
      </w:r>
      <w:r>
        <w:rPr>
          <w:rFonts w:ascii="David" w:hAnsi="David" w:cs="David"/>
          <w:color w:val="0000FF"/>
          <w:sz w:val="24"/>
          <w:szCs w:val="24"/>
          <w:vertAlign w:val="superscript"/>
          <w:rtl/>
        </w:rPr>
        <w:footnoteReference w:customMarkFollows="1" w:id="677"/>
        <w:t>677</w:t>
      </w:r>
      <w:r>
        <w:rPr>
          <w:rFonts w:ascii="David" w:hAnsi="David" w:cs="David"/>
          <w:color w:val="000000"/>
          <w:sz w:val="24"/>
          <w:szCs w:val="24"/>
          <w:rtl/>
        </w:rPr>
        <w:t>, ומכל מקום שכר בטלה מותר ליטול</w:t>
      </w:r>
      <w:r>
        <w:rPr>
          <w:rFonts w:ascii="David" w:hAnsi="David" w:cs="David"/>
          <w:color w:val="0000FF"/>
          <w:sz w:val="24"/>
          <w:szCs w:val="24"/>
          <w:vertAlign w:val="superscript"/>
          <w:rtl/>
        </w:rPr>
        <w:footnoteReference w:customMarkFollows="1" w:id="678"/>
        <w:t>678</w:t>
      </w:r>
      <w:r>
        <w:rPr>
          <w:rFonts w:ascii="David" w:hAnsi="David" w:cs="David"/>
          <w:color w:val="000000"/>
          <w:sz w:val="24"/>
          <w:szCs w:val="24"/>
          <w:rtl/>
        </w:rPr>
        <w:t>. והנוטל שכר לקדש, מימיו מי מערה - כלומר שאינם מים חיים</w:t>
      </w:r>
      <w:r>
        <w:rPr>
          <w:rFonts w:ascii="David" w:hAnsi="David" w:cs="David"/>
          <w:color w:val="0000FF"/>
          <w:sz w:val="24"/>
          <w:szCs w:val="24"/>
          <w:vertAlign w:val="superscript"/>
          <w:rtl/>
        </w:rPr>
        <w:footnoteReference w:customMarkFollows="1" w:id="679"/>
        <w:t>679</w:t>
      </w:r>
      <w:r>
        <w:rPr>
          <w:rFonts w:ascii="David" w:hAnsi="David" w:cs="David"/>
          <w:color w:val="000000"/>
          <w:sz w:val="24"/>
          <w:szCs w:val="24"/>
          <w:rtl/>
        </w:rPr>
        <w:t>, או שהם מים סרוחים</w:t>
      </w:r>
      <w:r>
        <w:rPr>
          <w:rFonts w:ascii="David" w:hAnsi="David" w:cs="David"/>
          <w:color w:val="0000FF"/>
          <w:sz w:val="24"/>
          <w:szCs w:val="24"/>
          <w:vertAlign w:val="superscript"/>
          <w:rtl/>
        </w:rPr>
        <w:footnoteReference w:customMarkFollows="1" w:id="680"/>
        <w:t>680</w:t>
      </w:r>
      <w:r>
        <w:rPr>
          <w:rFonts w:ascii="David" w:hAnsi="David" w:cs="David"/>
          <w:color w:val="000000"/>
          <w:sz w:val="24"/>
          <w:szCs w:val="24"/>
          <w:rtl/>
        </w:rPr>
        <w:t xml:space="preserve"> - ואפרו אפר מקלה</w:t>
      </w:r>
      <w:r>
        <w:rPr>
          <w:rFonts w:ascii="David" w:hAnsi="David" w:cs="David"/>
          <w:color w:val="0000FF"/>
          <w:sz w:val="24"/>
          <w:szCs w:val="24"/>
          <w:vertAlign w:val="superscript"/>
          <w:rtl/>
        </w:rPr>
        <w:footnoteReference w:customMarkFollows="1" w:id="681"/>
        <w:t>681</w:t>
      </w:r>
      <w:r>
        <w:rPr>
          <w:rFonts w:ascii="David" w:hAnsi="David" w:cs="David"/>
          <w:color w:val="000000"/>
          <w:sz w:val="24"/>
          <w:szCs w:val="24"/>
          <w:rtl/>
        </w:rPr>
        <w:t>, כסתם אפר שבא מן הקלוי באש</w:t>
      </w:r>
      <w:r>
        <w:rPr>
          <w:rFonts w:ascii="David" w:hAnsi="David" w:cs="David"/>
          <w:color w:val="0000FF"/>
          <w:sz w:val="24"/>
          <w:szCs w:val="24"/>
          <w:vertAlign w:val="superscript"/>
          <w:rtl/>
        </w:rPr>
        <w:footnoteReference w:customMarkFollows="1" w:id="682"/>
        <w:t>682</w:t>
      </w:r>
      <w:r>
        <w:rPr>
          <w:rFonts w:ascii="David" w:hAnsi="David" w:cs="David"/>
          <w:color w:val="000000"/>
          <w:sz w:val="24"/>
          <w:szCs w:val="24"/>
          <w:rtl/>
        </w:rPr>
        <w:t>, ודוקא כשנטל את השכר קודם הקידוש, אבל אם קידש ואחר כך נטל שכר, אף על פי שאמר מתחילה שיטול שכר, כתבו אחרונים שמאחר שנעשה הקידוש בהכשר, אינו נפסל</w:t>
      </w:r>
      <w:r>
        <w:rPr>
          <w:rFonts w:ascii="David" w:hAnsi="David" w:cs="David"/>
          <w:color w:val="0000FF"/>
          <w:sz w:val="24"/>
          <w:szCs w:val="24"/>
          <w:vertAlign w:val="superscript"/>
          <w:rtl/>
        </w:rPr>
        <w:footnoteReference w:customMarkFollows="1" w:id="683"/>
        <w:t>683</w:t>
      </w:r>
      <w:r>
        <w:rPr>
          <w:rFonts w:ascii="David" w:hAnsi="David" w:cs="David"/>
          <w:color w:val="000000"/>
          <w:sz w:val="24"/>
          <w:szCs w:val="24"/>
          <w:rtl/>
        </w:rPr>
        <w:t>. ואף האומר לחבירו: קדש לי ואקדש לך, שהקידוש השני פסול</w:t>
      </w:r>
      <w:r>
        <w:rPr>
          <w:rFonts w:ascii="David" w:hAnsi="David" w:cs="David"/>
          <w:color w:val="0000FF"/>
          <w:sz w:val="24"/>
          <w:szCs w:val="24"/>
          <w:vertAlign w:val="superscript"/>
          <w:rtl/>
        </w:rPr>
        <w:footnoteReference w:customMarkFollows="1" w:id="684"/>
        <w:t>684</w:t>
      </w:r>
      <w:r>
        <w:rPr>
          <w:rFonts w:ascii="David" w:hAnsi="David" w:cs="David"/>
          <w:color w:val="000000"/>
          <w:sz w:val="24"/>
          <w:szCs w:val="24"/>
          <w:rtl/>
        </w:rPr>
        <w:t>, יש מן הראשונים שפירשו, שהוא משום שחשוב שקידש בשכר הראשון שקידש לו</w:t>
      </w:r>
      <w:r>
        <w:rPr>
          <w:rFonts w:ascii="David" w:hAnsi="David" w:cs="David"/>
          <w:color w:val="0000FF"/>
          <w:sz w:val="24"/>
          <w:szCs w:val="24"/>
          <w:vertAlign w:val="superscript"/>
          <w:rtl/>
        </w:rPr>
        <w:footnoteReference w:customMarkFollows="1" w:id="685"/>
        <w:t>685</w:t>
      </w:r>
      <w:r>
        <w:rPr>
          <w:rFonts w:ascii="David" w:hAnsi="David" w:cs="David"/>
          <w:color w:val="000000"/>
          <w:sz w:val="24"/>
          <w:szCs w:val="24"/>
          <w:rtl/>
        </w:rPr>
        <w:t>, ואף על פי שלא פסק פסיקה גמורה, שיקדש לו חבירו בשכר הקידוש</w:t>
      </w:r>
      <w:r>
        <w:rPr>
          <w:rFonts w:ascii="David" w:hAnsi="David" w:cs="David"/>
          <w:color w:val="0000FF"/>
          <w:sz w:val="24"/>
          <w:szCs w:val="24"/>
          <w:vertAlign w:val="superscript"/>
          <w:rtl/>
        </w:rPr>
        <w:footnoteReference w:customMarkFollows="1" w:id="686"/>
        <w:t>686</w:t>
      </w:r>
      <w:r>
        <w:rPr>
          <w:rFonts w:ascii="David" w:hAnsi="David" w:cs="David"/>
          <w:color w:val="000000"/>
          <w:sz w:val="24"/>
          <w:szCs w:val="24"/>
          <w:rtl/>
        </w:rPr>
        <w:t>, והקידוש הראשון כשר, משום שלא נתן לו השכר קודם קידוש</w:t>
      </w:r>
      <w:r>
        <w:rPr>
          <w:rFonts w:ascii="David" w:hAnsi="David" w:cs="David"/>
          <w:color w:val="0000FF"/>
          <w:sz w:val="24"/>
          <w:szCs w:val="24"/>
          <w:vertAlign w:val="superscript"/>
          <w:rtl/>
        </w:rPr>
        <w:footnoteReference w:customMarkFollows="1" w:id="687"/>
        <w:t>687</w:t>
      </w:r>
      <w:r>
        <w:rPr>
          <w:rFonts w:ascii="David" w:hAnsi="David" w:cs="David"/>
          <w:color w:val="000000"/>
          <w:sz w:val="24"/>
          <w:szCs w:val="24"/>
          <w:rtl/>
        </w:rPr>
        <w:t>. וכתבו ראשונים שאף על פי שאיסור נטילת השכר מן התורה הוא</w:t>
      </w:r>
      <w:r>
        <w:rPr>
          <w:rFonts w:ascii="David" w:hAnsi="David" w:cs="David"/>
          <w:color w:val="0000FF"/>
          <w:sz w:val="24"/>
          <w:szCs w:val="24"/>
          <w:vertAlign w:val="superscript"/>
          <w:rtl/>
        </w:rPr>
        <w:footnoteReference w:customMarkFollows="1" w:id="688"/>
        <w:t>688</w:t>
      </w:r>
      <w:r>
        <w:rPr>
          <w:rFonts w:ascii="David" w:hAnsi="David" w:cs="David"/>
          <w:color w:val="000000"/>
          <w:sz w:val="24"/>
          <w:szCs w:val="24"/>
          <w:rtl/>
        </w:rPr>
        <w:t>, מכל מקום פסול המים כשעשה בשכר אינו נלמד מהכתוב, ואינו אלא אסמכתא</w:t>
      </w:r>
      <w:r>
        <w:rPr>
          <w:rFonts w:ascii="David" w:hAnsi="David" w:cs="David"/>
          <w:color w:val="0000FF"/>
          <w:sz w:val="24"/>
          <w:szCs w:val="24"/>
          <w:vertAlign w:val="superscript"/>
          <w:rtl/>
        </w:rPr>
        <w:footnoteReference w:customMarkFollows="1" w:id="689"/>
        <w:t>689</w:t>
      </w:r>
      <w:r>
        <w:rPr>
          <w:rFonts w:ascii="David" w:hAnsi="David" w:cs="David"/>
          <w:color w:val="000000"/>
          <w:sz w:val="24"/>
          <w:szCs w:val="24"/>
          <w:rtl/>
        </w:rPr>
        <w:t>, ואינם נפסלים אלא מדרבנן</w:t>
      </w:r>
      <w:r>
        <w:rPr>
          <w:rFonts w:ascii="David" w:hAnsi="David" w:cs="David"/>
          <w:color w:val="0000FF"/>
          <w:sz w:val="24"/>
          <w:szCs w:val="24"/>
          <w:vertAlign w:val="superscript"/>
          <w:rtl/>
        </w:rPr>
        <w:footnoteReference w:customMarkFollows="1" w:id="690"/>
        <w:t>690</w:t>
      </w:r>
      <w:r>
        <w:rPr>
          <w:rFonts w:ascii="David" w:hAnsi="David" w:cs="David"/>
          <w:color w:val="000000"/>
          <w:sz w:val="24"/>
          <w:szCs w:val="24"/>
          <w:rtl/>
        </w:rPr>
        <w:t>, שבמצוות שהכוונה בהן עיקר, אמרו חכמים שאם עשאן בשכר הן פסולות</w:t>
      </w:r>
      <w:r>
        <w:rPr>
          <w:rFonts w:ascii="David" w:hAnsi="David" w:cs="David"/>
          <w:color w:val="0000FF"/>
          <w:sz w:val="24"/>
          <w:szCs w:val="24"/>
          <w:vertAlign w:val="superscript"/>
          <w:rtl/>
        </w:rPr>
        <w:footnoteReference w:customMarkFollows="1" w:id="691"/>
        <w:t>691</w:t>
      </w:r>
      <w:r>
        <w:rPr>
          <w:rFonts w:ascii="David" w:hAnsi="David" w:cs="David"/>
          <w:color w:val="000000"/>
          <w:sz w:val="24"/>
          <w:szCs w:val="24"/>
          <w:rtl/>
        </w:rPr>
        <w:t>. על נטילת שכר להזות, שדינה כקידוש, ועל אופנים שונים של נטילת שכר, אם הם בכלל האיסור, ע"ע הזאה (ב)</w:t>
      </w:r>
      <w:r>
        <w:rPr>
          <w:rFonts w:ascii="David" w:hAnsi="David" w:cs="David"/>
          <w:color w:val="0000FF"/>
          <w:sz w:val="24"/>
          <w:szCs w:val="24"/>
          <w:vertAlign w:val="superscript"/>
          <w:rtl/>
        </w:rPr>
        <w:footnoteReference w:customMarkFollows="1" w:id="692"/>
        <w:t>692</w:t>
      </w:r>
      <w:r>
        <w:rPr>
          <w:rFonts w:ascii="David" w:hAnsi="David" w:cs="David"/>
          <w:color w:val="000000"/>
          <w:sz w:val="24"/>
          <w:szCs w:val="24"/>
          <w:rtl/>
        </w:rPr>
        <w:t>, על נטילת שכר למילוי, עי' לעיל: המילוי</w:t>
      </w:r>
      <w:r>
        <w:rPr>
          <w:rFonts w:ascii="David" w:hAnsi="David" w:cs="David"/>
          <w:color w:val="0000FF"/>
          <w:sz w:val="24"/>
          <w:szCs w:val="24"/>
          <w:vertAlign w:val="superscript"/>
          <w:rtl/>
        </w:rPr>
        <w:footnoteReference w:customMarkFollows="1" w:id="693"/>
        <w:t>693</w:t>
      </w:r>
      <w:r>
        <w:rPr>
          <w:rFonts w:ascii="David" w:hAnsi="David" w:cs="David"/>
          <w:color w:val="000000"/>
          <w:sz w:val="24"/>
          <w:szCs w:val="24"/>
          <w:rtl/>
        </w:rPr>
        <w:t xml:space="preserve">. </w:t>
      </w:r>
    </w:p>
    <w:p w14:paraId="1689B2B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[קידוש מים בלועים]</w:t>
      </w:r>
    </w:p>
    <w:p w14:paraId="3B9A43B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הראויים לקידוש שהיו בלועים בכלי בשעה שמקדשים בו, דנו בהם אם הם מתקדשים על ידי קידוש המים שבכלי: קרויה - דלעת יבשה חלולה ששואבים בה מים, והיא מתרככת ודרכה לבלוע ולפלוט</w:t>
      </w:r>
      <w:r>
        <w:rPr>
          <w:rFonts w:ascii="David" w:hAnsi="David" w:cs="David"/>
          <w:color w:val="0000FF"/>
          <w:sz w:val="24"/>
          <w:szCs w:val="24"/>
          <w:vertAlign w:val="superscript"/>
          <w:rtl/>
        </w:rPr>
        <w:footnoteReference w:customMarkFollows="1" w:id="694"/>
        <w:t>694</w:t>
      </w:r>
      <w:r>
        <w:rPr>
          <w:rFonts w:ascii="David" w:hAnsi="David" w:cs="David"/>
          <w:color w:val="000000"/>
          <w:sz w:val="24"/>
          <w:szCs w:val="24"/>
          <w:rtl/>
        </w:rPr>
        <w:t xml:space="preserve"> - שהטבילוה במים הראויים לקדש, ובלעה ממי הטבילה, ושוב שאבו בה מים וקידשו בה, יש מן האחרונים שכתבו בדעת ראשונים, שהמים הבלועים בקרויה מתקדשים</w:t>
      </w:r>
      <w:r>
        <w:rPr>
          <w:rFonts w:ascii="David" w:hAnsi="David" w:cs="David"/>
          <w:color w:val="0000FF"/>
          <w:sz w:val="24"/>
          <w:szCs w:val="24"/>
          <w:vertAlign w:val="superscript"/>
          <w:rtl/>
        </w:rPr>
        <w:footnoteReference w:customMarkFollows="1" w:id="695"/>
        <w:t>695</w:t>
      </w:r>
      <w:r>
        <w:rPr>
          <w:rFonts w:ascii="David" w:hAnsi="David" w:cs="David"/>
          <w:color w:val="000000"/>
          <w:sz w:val="24"/>
          <w:szCs w:val="24"/>
          <w:rtl/>
        </w:rPr>
        <w:t>, וכן שנינו לדעתם, שלדעת תנא קמא מקדשים בקרויה שהטבילוה במים הראויים לקידוש</w:t>
      </w:r>
      <w:r>
        <w:rPr>
          <w:rFonts w:ascii="David" w:hAnsi="David" w:cs="David"/>
          <w:color w:val="0000FF"/>
          <w:sz w:val="24"/>
          <w:szCs w:val="24"/>
          <w:vertAlign w:val="superscript"/>
          <w:rtl/>
        </w:rPr>
        <w:footnoteReference w:customMarkFollows="1" w:id="696"/>
        <w:t>696</w:t>
      </w:r>
      <w:r>
        <w:rPr>
          <w:rFonts w:ascii="David" w:hAnsi="David" w:cs="David"/>
          <w:color w:val="000000"/>
          <w:sz w:val="24"/>
          <w:szCs w:val="24"/>
          <w:rtl/>
        </w:rPr>
        <w:t>, ואין חוששים שיפסלו המים שבקרויה לאחר שנתקדשו, מחמת פליטת המים הבלועים</w:t>
      </w:r>
      <w:r>
        <w:rPr>
          <w:rFonts w:ascii="David" w:hAnsi="David" w:cs="David"/>
          <w:color w:val="0000FF"/>
          <w:sz w:val="24"/>
          <w:szCs w:val="24"/>
          <w:vertAlign w:val="superscript"/>
          <w:rtl/>
        </w:rPr>
        <w:footnoteReference w:customMarkFollows="1" w:id="697"/>
        <w:t>697</w:t>
      </w:r>
      <w:r>
        <w:rPr>
          <w:rFonts w:ascii="David" w:hAnsi="David" w:cs="David"/>
          <w:color w:val="000000"/>
          <w:sz w:val="24"/>
          <w:szCs w:val="24"/>
          <w:rtl/>
        </w:rPr>
        <w:t>, שהרי אף הם מקודשים</w:t>
      </w:r>
      <w:r>
        <w:rPr>
          <w:rFonts w:ascii="David" w:hAnsi="David" w:cs="David"/>
          <w:color w:val="0000FF"/>
          <w:sz w:val="24"/>
          <w:szCs w:val="24"/>
          <w:vertAlign w:val="superscript"/>
          <w:rtl/>
        </w:rPr>
        <w:footnoteReference w:customMarkFollows="1" w:id="698"/>
        <w:t>698</w:t>
      </w:r>
      <w:r>
        <w:rPr>
          <w:rFonts w:ascii="David" w:hAnsi="David" w:cs="David"/>
          <w:color w:val="000000"/>
          <w:sz w:val="24"/>
          <w:szCs w:val="24"/>
          <w:rtl/>
        </w:rPr>
        <w:t>, וחשובים שנמצאים בתוך הכלי</w:t>
      </w:r>
      <w:r>
        <w:rPr>
          <w:rFonts w:ascii="David" w:hAnsi="David" w:cs="David"/>
          <w:color w:val="0000FF"/>
          <w:sz w:val="24"/>
          <w:szCs w:val="24"/>
          <w:vertAlign w:val="superscript"/>
          <w:rtl/>
        </w:rPr>
        <w:footnoteReference w:customMarkFollows="1" w:id="699"/>
        <w:t>699</w:t>
      </w:r>
      <w:r>
        <w:rPr>
          <w:rFonts w:ascii="David" w:hAnsi="David" w:cs="David"/>
          <w:color w:val="000000"/>
          <w:sz w:val="24"/>
          <w:szCs w:val="24"/>
          <w:rtl/>
        </w:rPr>
        <w:t xml:space="preserve">, ומהם שכתבו, שר' יהושע שלדעה זו חולק וסובר שאין מקדשים מי חטאת בקרויה שהטבילוה במים הראויים </w:t>
      </w:r>
    </w:p>
    <w:p w14:paraId="28249B8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לקידוש</w:t>
      </w:r>
      <w:r>
        <w:rPr>
          <w:rFonts w:ascii="David" w:hAnsi="David" w:cs="David"/>
          <w:color w:val="0000FF"/>
          <w:sz w:val="24"/>
          <w:szCs w:val="24"/>
          <w:vertAlign w:val="superscript"/>
          <w:rtl/>
        </w:rPr>
        <w:footnoteReference w:customMarkFollows="1" w:id="700"/>
        <w:t>700</w:t>
      </w:r>
      <w:r>
        <w:rPr>
          <w:rFonts w:ascii="David" w:hAnsi="David" w:cs="David"/>
          <w:color w:val="000000"/>
          <w:sz w:val="24"/>
          <w:szCs w:val="24"/>
          <w:rtl/>
        </w:rPr>
        <w:t>, היינו משום שהוא סובר שאין המים הבלועים מתקדשים</w:t>
      </w:r>
      <w:r>
        <w:rPr>
          <w:rFonts w:ascii="David" w:hAnsi="David" w:cs="David"/>
          <w:color w:val="0000FF"/>
          <w:sz w:val="24"/>
          <w:szCs w:val="24"/>
          <w:vertAlign w:val="superscript"/>
          <w:rtl/>
        </w:rPr>
        <w:footnoteReference w:customMarkFollows="1" w:id="701"/>
        <w:t>701</w:t>
      </w:r>
      <w:r>
        <w:rPr>
          <w:rFonts w:ascii="David" w:hAnsi="David" w:cs="David"/>
          <w:color w:val="000000"/>
          <w:sz w:val="24"/>
          <w:szCs w:val="24"/>
          <w:rtl/>
        </w:rPr>
        <w:t>. על הסוברים שמטעם אחר אין מקדשים בה לדעתו, עי' לעיל: המילוי</w:t>
      </w:r>
      <w:r>
        <w:rPr>
          <w:rFonts w:ascii="David" w:hAnsi="David" w:cs="David"/>
          <w:color w:val="0000FF"/>
          <w:sz w:val="24"/>
          <w:szCs w:val="24"/>
          <w:vertAlign w:val="superscript"/>
          <w:rtl/>
        </w:rPr>
        <w:footnoteReference w:customMarkFollows="1" w:id="702"/>
        <w:t>702</w:t>
      </w:r>
      <w:r>
        <w:rPr>
          <w:rFonts w:ascii="David" w:hAnsi="David" w:cs="David"/>
          <w:color w:val="000000"/>
          <w:sz w:val="24"/>
          <w:szCs w:val="24"/>
          <w:rtl/>
        </w:rPr>
        <w:t>. על הסוברים שאם הטבילוה במים הראויים לקדש מקדשים בה לדברי הכל, עי' להלן: פסולם על ידי תערובת</w:t>
      </w:r>
      <w:r>
        <w:rPr>
          <w:rFonts w:ascii="David" w:hAnsi="David" w:cs="David"/>
          <w:color w:val="0000FF"/>
          <w:sz w:val="24"/>
          <w:szCs w:val="24"/>
          <w:vertAlign w:val="superscript"/>
          <w:rtl/>
        </w:rPr>
        <w:footnoteReference w:customMarkFollows="1" w:id="703"/>
        <w:t>703</w:t>
      </w:r>
      <w:r>
        <w:rPr>
          <w:rFonts w:ascii="David" w:hAnsi="David" w:cs="David"/>
          <w:color w:val="000000"/>
          <w:sz w:val="24"/>
          <w:szCs w:val="24"/>
          <w:rtl/>
        </w:rPr>
        <w:t>. ויש מן הראשונים שכתבו, שהמקדש מים שבשוקת, והיה בתוכה ספוג, המים הבלועים בו אינם מתקדשים, לפי שלא נכנס הקידוש לתוכם</w:t>
      </w:r>
      <w:r>
        <w:rPr>
          <w:rFonts w:ascii="David" w:hAnsi="David" w:cs="David"/>
          <w:color w:val="0000FF"/>
          <w:sz w:val="24"/>
          <w:szCs w:val="24"/>
          <w:vertAlign w:val="superscript"/>
          <w:rtl/>
        </w:rPr>
        <w:footnoteReference w:customMarkFollows="1" w:id="704"/>
        <w:t>704</w:t>
      </w:r>
      <w:r>
        <w:rPr>
          <w:rFonts w:ascii="David" w:hAnsi="David" w:cs="David"/>
          <w:color w:val="000000"/>
          <w:sz w:val="24"/>
          <w:szCs w:val="24"/>
          <w:rtl/>
        </w:rPr>
        <w:t>, וכתבו אחרונים שלדעתם מים הבלועים בקרויה אין מתקדשים, שאם אמרו שמים שבספוג אינם מתקדשים, כל שכן מים הבלועים בכלי</w:t>
      </w:r>
      <w:r>
        <w:rPr>
          <w:rFonts w:ascii="David" w:hAnsi="David" w:cs="David"/>
          <w:color w:val="0000FF"/>
          <w:sz w:val="24"/>
          <w:szCs w:val="24"/>
          <w:vertAlign w:val="superscript"/>
          <w:rtl/>
        </w:rPr>
        <w:footnoteReference w:customMarkFollows="1" w:id="705"/>
        <w:t>705</w:t>
      </w:r>
      <w:r>
        <w:rPr>
          <w:rFonts w:ascii="David" w:hAnsi="David" w:cs="David"/>
          <w:color w:val="000000"/>
          <w:sz w:val="24"/>
          <w:szCs w:val="24"/>
          <w:rtl/>
        </w:rPr>
        <w:t>, וכן יש סוברים שמטעם אחר אין חוששים שיפסלו המים שבקרויה לאחר שנתקדשו מחמת פליטת המים הבלועים, ולא משום שאותם מים בכלל הקידוש</w:t>
      </w:r>
      <w:r>
        <w:rPr>
          <w:rFonts w:ascii="David" w:hAnsi="David" w:cs="David"/>
          <w:color w:val="0000FF"/>
          <w:sz w:val="24"/>
          <w:szCs w:val="24"/>
          <w:vertAlign w:val="superscript"/>
          <w:rtl/>
        </w:rPr>
        <w:footnoteReference w:customMarkFollows="1" w:id="706"/>
        <w:t>706</w:t>
      </w:r>
      <w:r>
        <w:rPr>
          <w:rFonts w:ascii="David" w:hAnsi="David" w:cs="David"/>
          <w:color w:val="000000"/>
          <w:sz w:val="24"/>
          <w:szCs w:val="24"/>
          <w:rtl/>
        </w:rPr>
        <w:t>. על הסוברים שמטעם אחר אין מים שבספוג מתקדשים, ע"ע כלים</w:t>
      </w:r>
      <w:r>
        <w:rPr>
          <w:rFonts w:ascii="David" w:hAnsi="David" w:cs="David"/>
          <w:color w:val="0000FF"/>
          <w:sz w:val="24"/>
          <w:szCs w:val="24"/>
          <w:vertAlign w:val="superscript"/>
          <w:rtl/>
        </w:rPr>
        <w:footnoteReference w:customMarkFollows="1" w:id="707"/>
        <w:t>707</w:t>
      </w:r>
      <w:r>
        <w:rPr>
          <w:rFonts w:ascii="David" w:hAnsi="David" w:cs="David"/>
          <w:color w:val="000000"/>
          <w:sz w:val="24"/>
          <w:szCs w:val="24"/>
          <w:rtl/>
        </w:rPr>
        <w:t>, על הסוברים שפסול ספוג נאמר כשהמים היו בספוג בשעת המילוי, ומשום שהמילוי פסול, עי' לעיל: המילוי</w:t>
      </w:r>
      <w:r>
        <w:rPr>
          <w:rFonts w:ascii="David" w:hAnsi="David" w:cs="David"/>
          <w:color w:val="0000FF"/>
          <w:sz w:val="24"/>
          <w:szCs w:val="24"/>
          <w:vertAlign w:val="superscript"/>
          <w:rtl/>
        </w:rPr>
        <w:footnoteReference w:customMarkFollows="1" w:id="708"/>
        <w:t>708</w:t>
      </w:r>
      <w:r>
        <w:rPr>
          <w:rFonts w:ascii="David" w:hAnsi="David" w:cs="David"/>
          <w:color w:val="000000"/>
          <w:sz w:val="24"/>
          <w:szCs w:val="24"/>
          <w:rtl/>
        </w:rPr>
        <w:t xml:space="preserve">. </w:t>
      </w:r>
    </w:p>
    <w:p w14:paraId="1F6F279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[במים שנתמלאו לקידוש]</w:t>
      </w:r>
    </w:p>
    <w:p w14:paraId="064DAEE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ד. פסולם על ידי תערובת.</w:t>
      </w:r>
      <w:r>
        <w:rPr>
          <w:rFonts w:ascii="David" w:hAnsi="David" w:cs="David"/>
          <w:color w:val="000000"/>
          <w:sz w:val="24"/>
          <w:szCs w:val="24"/>
          <w:rtl/>
        </w:rPr>
        <w:t xml:space="preserve"> מים שנתמלאו בכלי לקידוש, ונתערבו בהם מיעוט מים הפסולים לקידוש, פוסלים אותם</w:t>
      </w:r>
      <w:r>
        <w:rPr>
          <w:rFonts w:ascii="David" w:hAnsi="David" w:cs="David"/>
          <w:color w:val="0000FF"/>
          <w:sz w:val="24"/>
          <w:szCs w:val="24"/>
          <w:vertAlign w:val="superscript"/>
          <w:rtl/>
        </w:rPr>
        <w:footnoteReference w:customMarkFollows="1" w:id="709"/>
        <w:t>709</w:t>
      </w:r>
      <w:r>
        <w:rPr>
          <w:rFonts w:ascii="David" w:hAnsi="David" w:cs="David"/>
          <w:color w:val="000000"/>
          <w:sz w:val="24"/>
          <w:szCs w:val="24"/>
          <w:rtl/>
        </w:rPr>
        <w:t>, ואף על פי שמן התורה בטלים ברוב</w:t>
      </w:r>
      <w:r>
        <w:rPr>
          <w:rFonts w:ascii="David" w:hAnsi="David" w:cs="David"/>
          <w:color w:val="0000FF"/>
          <w:sz w:val="24"/>
          <w:szCs w:val="24"/>
          <w:vertAlign w:val="superscript"/>
          <w:rtl/>
        </w:rPr>
        <w:footnoteReference w:customMarkFollows="1" w:id="710"/>
        <w:t>710</w:t>
      </w:r>
      <w:r>
        <w:rPr>
          <w:rFonts w:ascii="David" w:hAnsi="David" w:cs="David"/>
          <w:color w:val="000000"/>
          <w:sz w:val="24"/>
          <w:szCs w:val="24"/>
          <w:rtl/>
        </w:rPr>
        <w:t>, שהחמירו חכמים במי חטאת</w:t>
      </w:r>
      <w:r>
        <w:rPr>
          <w:rFonts w:ascii="David" w:hAnsi="David" w:cs="David"/>
          <w:color w:val="0000FF"/>
          <w:sz w:val="24"/>
          <w:szCs w:val="24"/>
          <w:vertAlign w:val="superscript"/>
          <w:rtl/>
        </w:rPr>
        <w:footnoteReference w:customMarkFollows="1" w:id="711"/>
        <w:t>711</w:t>
      </w:r>
      <w:r>
        <w:rPr>
          <w:rFonts w:ascii="David" w:hAnsi="David" w:cs="David"/>
          <w:color w:val="000000"/>
          <w:sz w:val="24"/>
          <w:szCs w:val="24"/>
          <w:rtl/>
        </w:rPr>
        <w:t>, שאפילו טיפה אחת פוסלתם</w:t>
      </w:r>
      <w:r>
        <w:rPr>
          <w:rFonts w:ascii="David" w:hAnsi="David" w:cs="David"/>
          <w:color w:val="0000FF"/>
          <w:sz w:val="24"/>
          <w:szCs w:val="24"/>
          <w:vertAlign w:val="superscript"/>
          <w:rtl/>
        </w:rPr>
        <w:footnoteReference w:customMarkFollows="1" w:id="712"/>
        <w:t>712</w:t>
      </w:r>
      <w:r>
        <w:rPr>
          <w:rFonts w:ascii="David" w:hAnsi="David" w:cs="David"/>
          <w:color w:val="000000"/>
          <w:sz w:val="24"/>
          <w:szCs w:val="24"/>
          <w:rtl/>
        </w:rPr>
        <w:t>, ואף לדעת רבי אליעזר שמים שאינם מקודשים שנתערבו במי חטאת לאחר שנתקדשו, אינם פוסלים את כל המים</w:t>
      </w:r>
      <w:r>
        <w:rPr>
          <w:rFonts w:ascii="David" w:hAnsi="David" w:cs="David"/>
          <w:color w:val="0000FF"/>
          <w:sz w:val="24"/>
          <w:szCs w:val="24"/>
          <w:vertAlign w:val="superscript"/>
          <w:rtl/>
        </w:rPr>
        <w:footnoteReference w:customMarkFollows="1" w:id="713"/>
        <w:t>713</w:t>
      </w:r>
      <w:r>
        <w:rPr>
          <w:rFonts w:ascii="David" w:hAnsi="David" w:cs="David"/>
          <w:color w:val="000000"/>
          <w:sz w:val="24"/>
          <w:szCs w:val="24"/>
          <w:rtl/>
        </w:rPr>
        <w:t>, יש מן האחרונים שצידדו לומר שקודם שנתקדשו נפסלו על ידי תערובת, לפי שמים שלא נתקדשו אין הפסד כשישאב אחרים</w:t>
      </w:r>
      <w:r>
        <w:rPr>
          <w:rFonts w:ascii="David" w:hAnsi="David" w:cs="David"/>
          <w:color w:val="0000FF"/>
          <w:sz w:val="24"/>
          <w:szCs w:val="24"/>
          <w:vertAlign w:val="superscript"/>
          <w:rtl/>
        </w:rPr>
        <w:footnoteReference w:customMarkFollows="1" w:id="714"/>
        <w:t>714</w:t>
      </w:r>
      <w:r>
        <w:rPr>
          <w:rFonts w:ascii="David" w:hAnsi="David" w:cs="David"/>
          <w:color w:val="000000"/>
          <w:sz w:val="24"/>
          <w:szCs w:val="24"/>
          <w:rtl/>
        </w:rPr>
        <w:t>, ויש מן האחרונים שכתבו שלדעת רבי אליעזר, כשם שאחר קידוש לא נפסלו המים על ידי תערובת, הוא הדין שלא נפסלו בתערובת קודם קידוש</w:t>
      </w:r>
      <w:r>
        <w:rPr>
          <w:rFonts w:ascii="David" w:hAnsi="David" w:cs="David"/>
          <w:color w:val="0000FF"/>
          <w:sz w:val="24"/>
          <w:szCs w:val="24"/>
          <w:vertAlign w:val="superscript"/>
          <w:rtl/>
        </w:rPr>
        <w:footnoteReference w:customMarkFollows="1" w:id="715"/>
        <w:t>715</w:t>
      </w:r>
      <w:r>
        <w:rPr>
          <w:rFonts w:ascii="David" w:hAnsi="David" w:cs="David"/>
          <w:color w:val="000000"/>
          <w:sz w:val="24"/>
          <w:szCs w:val="24"/>
          <w:rtl/>
        </w:rPr>
        <w:t>. וכן אותה ששנינו, ששוקת שהיה בתוכה ספוג, ונגע האדם בספוג, המים שבשוקת פסולים</w:t>
      </w:r>
      <w:r>
        <w:rPr>
          <w:rFonts w:ascii="David" w:hAnsi="David" w:cs="David"/>
          <w:color w:val="0000FF"/>
          <w:sz w:val="24"/>
          <w:szCs w:val="24"/>
          <w:vertAlign w:val="superscript"/>
          <w:rtl/>
        </w:rPr>
        <w:footnoteReference w:customMarkFollows="1" w:id="716"/>
        <w:t>716</w:t>
      </w:r>
      <w:r>
        <w:rPr>
          <w:rFonts w:ascii="David" w:hAnsi="David" w:cs="David"/>
          <w:color w:val="000000"/>
          <w:sz w:val="24"/>
          <w:szCs w:val="24"/>
          <w:rtl/>
        </w:rPr>
        <w:t>, יש מן הראשונים שכתבו, שהדברים אמורים בשוקת שהיו בה מים שנתמלאו למי חטאת, והואיל והמים שבספוג פסולים לקידוש - כיון שלא נתמלאו בכלי, שהספוג אינו כלי</w:t>
      </w:r>
      <w:r>
        <w:rPr>
          <w:rFonts w:ascii="David" w:hAnsi="David" w:cs="David"/>
          <w:color w:val="0000FF"/>
          <w:sz w:val="24"/>
          <w:szCs w:val="24"/>
          <w:vertAlign w:val="superscript"/>
          <w:rtl/>
        </w:rPr>
        <w:footnoteReference w:customMarkFollows="1" w:id="717"/>
        <w:t>717</w:t>
      </w:r>
      <w:r>
        <w:rPr>
          <w:rFonts w:ascii="David" w:hAnsi="David" w:cs="David"/>
          <w:color w:val="000000"/>
          <w:sz w:val="24"/>
          <w:szCs w:val="24"/>
          <w:rtl/>
        </w:rPr>
        <w:t xml:space="preserve"> - ובשעה שנוגע בספוג, נסחטים המים שבתוכו לתוך השוקת, נפסלים כל המים שבשוקת בתערובת המים הפסולים</w:t>
      </w:r>
      <w:r>
        <w:rPr>
          <w:rFonts w:ascii="David" w:hAnsi="David" w:cs="David"/>
          <w:color w:val="0000FF"/>
          <w:sz w:val="24"/>
          <w:szCs w:val="24"/>
          <w:vertAlign w:val="superscript"/>
          <w:rtl/>
        </w:rPr>
        <w:footnoteReference w:customMarkFollows="1" w:id="718"/>
        <w:t>718</w:t>
      </w:r>
      <w:r>
        <w:rPr>
          <w:rFonts w:ascii="David" w:hAnsi="David" w:cs="David"/>
          <w:color w:val="000000"/>
          <w:sz w:val="24"/>
          <w:szCs w:val="24"/>
          <w:rtl/>
        </w:rPr>
        <w:t xml:space="preserve">. על הסוברים שבשוקת שיש בה מים המקודשים שנינו, ומשום תערובת מים </w:t>
      </w:r>
    </w:p>
    <w:p w14:paraId="6D3AD95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שלא נתקדשו במים שנתקדשו, עי' להלן</w:t>
      </w:r>
      <w:r>
        <w:rPr>
          <w:rFonts w:ascii="David" w:hAnsi="David" w:cs="David"/>
          <w:color w:val="0000FF"/>
          <w:sz w:val="24"/>
          <w:szCs w:val="24"/>
          <w:vertAlign w:val="superscript"/>
          <w:rtl/>
        </w:rPr>
        <w:footnoteReference w:customMarkFollows="1" w:id="719"/>
        <w:t>719</w:t>
      </w:r>
      <w:r>
        <w:rPr>
          <w:rFonts w:ascii="David" w:hAnsi="David" w:cs="David"/>
          <w:color w:val="000000"/>
          <w:sz w:val="24"/>
          <w:szCs w:val="24"/>
          <w:rtl/>
        </w:rPr>
        <w:t>. ואף כשהיו בכלי מים פסולים קודם שנתמלא, והוריקם מהכלי, קודם שמניח בכלי מים לקידוש צריך לנגבו מן המים הפסולים שנשארו בדפנותיו</w:t>
      </w:r>
      <w:r>
        <w:rPr>
          <w:rFonts w:ascii="David" w:hAnsi="David" w:cs="David"/>
          <w:color w:val="0000FF"/>
          <w:sz w:val="24"/>
          <w:szCs w:val="24"/>
          <w:vertAlign w:val="superscript"/>
          <w:rtl/>
        </w:rPr>
        <w:footnoteReference w:customMarkFollows="1" w:id="720"/>
        <w:t>720</w:t>
      </w:r>
      <w:r>
        <w:rPr>
          <w:rFonts w:ascii="David" w:hAnsi="David" w:cs="David"/>
          <w:color w:val="000000"/>
          <w:sz w:val="24"/>
          <w:szCs w:val="24"/>
          <w:rtl/>
        </w:rPr>
        <w:t>, ואם לא ניגב, והניח בו מים לקידוש, ישפכו כולם</w:t>
      </w:r>
      <w:r>
        <w:rPr>
          <w:rFonts w:ascii="David" w:hAnsi="David" w:cs="David"/>
          <w:color w:val="0000FF"/>
          <w:sz w:val="24"/>
          <w:szCs w:val="24"/>
          <w:vertAlign w:val="superscript"/>
          <w:rtl/>
        </w:rPr>
        <w:footnoteReference w:customMarkFollows="1" w:id="721"/>
        <w:t>721</w:t>
      </w:r>
      <w:r>
        <w:rPr>
          <w:rFonts w:ascii="David" w:hAnsi="David" w:cs="David"/>
          <w:color w:val="000000"/>
          <w:sz w:val="24"/>
          <w:szCs w:val="24"/>
          <w:rtl/>
        </w:rPr>
        <w:t>. על מים פסולים שנתערבו במים שבמעיין קודם שנתמלאו, ע"ע מים חיים</w:t>
      </w:r>
      <w:r>
        <w:rPr>
          <w:rFonts w:ascii="David" w:hAnsi="David" w:cs="David"/>
          <w:color w:val="0000FF"/>
          <w:sz w:val="24"/>
          <w:szCs w:val="24"/>
          <w:vertAlign w:val="superscript"/>
          <w:rtl/>
        </w:rPr>
        <w:footnoteReference w:customMarkFollows="1" w:id="722"/>
        <w:t>722</w:t>
      </w:r>
      <w:r>
        <w:rPr>
          <w:rFonts w:ascii="David" w:hAnsi="David" w:cs="David"/>
          <w:color w:val="000000"/>
          <w:sz w:val="24"/>
          <w:szCs w:val="24"/>
          <w:rtl/>
        </w:rPr>
        <w:t xml:space="preserve">. </w:t>
      </w:r>
    </w:p>
    <w:p w14:paraId="05B08BC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[במים המקודשים]</w:t>
      </w:r>
    </w:p>
    <w:p w14:paraId="60EF8C3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המקודשים, שנפלו לתוכם מיעוט מים שאינם מקודשים - ואפילו היו המים ראויים לקידוש</w:t>
      </w:r>
      <w:r>
        <w:rPr>
          <w:rFonts w:ascii="David" w:hAnsi="David" w:cs="David"/>
          <w:color w:val="0000FF"/>
          <w:sz w:val="24"/>
          <w:szCs w:val="24"/>
          <w:vertAlign w:val="superscript"/>
          <w:rtl/>
        </w:rPr>
        <w:footnoteReference w:customMarkFollows="1" w:id="723"/>
        <w:t>723</w:t>
      </w:r>
      <w:r>
        <w:rPr>
          <w:rFonts w:ascii="David" w:hAnsi="David" w:cs="David"/>
          <w:color w:val="000000"/>
          <w:sz w:val="24"/>
          <w:szCs w:val="24"/>
          <w:rtl/>
        </w:rPr>
        <w:t xml:space="preserve"> - לדעת חכמים, המים המקודשים פסולים להזאה*</w:t>
      </w:r>
      <w:r>
        <w:rPr>
          <w:rFonts w:ascii="David" w:hAnsi="David" w:cs="David"/>
          <w:color w:val="0000FF"/>
          <w:sz w:val="24"/>
          <w:szCs w:val="24"/>
          <w:vertAlign w:val="superscript"/>
          <w:rtl/>
        </w:rPr>
        <w:footnoteReference w:customMarkFollows="1" w:id="724"/>
        <w:t>724</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725"/>
        <w:t>725</w:t>
      </w:r>
      <w:r>
        <w:rPr>
          <w:rFonts w:ascii="David" w:hAnsi="David" w:cs="David"/>
          <w:color w:val="000000"/>
          <w:sz w:val="24"/>
          <w:szCs w:val="24"/>
          <w:rtl/>
        </w:rPr>
        <w:t>, ואפילו רוב המים הם מים המקודשים</w:t>
      </w:r>
      <w:r>
        <w:rPr>
          <w:rFonts w:ascii="David" w:hAnsi="David" w:cs="David"/>
          <w:color w:val="0000FF"/>
          <w:sz w:val="24"/>
          <w:szCs w:val="24"/>
          <w:vertAlign w:val="superscript"/>
          <w:rtl/>
        </w:rPr>
        <w:footnoteReference w:customMarkFollows="1" w:id="726"/>
        <w:t>726</w:t>
      </w:r>
      <w:r>
        <w:rPr>
          <w:rFonts w:ascii="David" w:hAnsi="David" w:cs="David"/>
          <w:color w:val="000000"/>
          <w:sz w:val="24"/>
          <w:szCs w:val="24"/>
          <w:rtl/>
        </w:rPr>
        <w:t xml:space="preserve"> - וכן כשנפלו לתוכם מים מקודשים שנפסלו</w:t>
      </w:r>
      <w:r>
        <w:rPr>
          <w:rFonts w:ascii="David" w:hAnsi="David" w:cs="David"/>
          <w:color w:val="0000FF"/>
          <w:sz w:val="24"/>
          <w:szCs w:val="24"/>
          <w:vertAlign w:val="superscript"/>
          <w:rtl/>
        </w:rPr>
        <w:footnoteReference w:customMarkFollows="1" w:id="727"/>
        <w:t>727</w:t>
      </w:r>
      <w:r>
        <w:rPr>
          <w:rFonts w:ascii="David" w:hAnsi="David" w:cs="David"/>
          <w:color w:val="000000"/>
          <w:sz w:val="24"/>
          <w:szCs w:val="24"/>
          <w:rtl/>
        </w:rPr>
        <w:t xml:space="preserve"> - שלדעתם הזאה צריכה שיעור - על שיעורה, ע"ע הזאה (ב)</w:t>
      </w:r>
      <w:r>
        <w:rPr>
          <w:rFonts w:ascii="David" w:hAnsi="David" w:cs="David"/>
          <w:color w:val="0000FF"/>
          <w:sz w:val="24"/>
          <w:szCs w:val="24"/>
          <w:vertAlign w:val="superscript"/>
          <w:rtl/>
        </w:rPr>
        <w:footnoteReference w:customMarkFollows="1" w:id="728"/>
        <w:t>728</w:t>
      </w:r>
      <w:r>
        <w:rPr>
          <w:rFonts w:ascii="David" w:hAnsi="David" w:cs="David"/>
          <w:color w:val="000000"/>
          <w:sz w:val="24"/>
          <w:szCs w:val="24"/>
          <w:rtl/>
        </w:rPr>
        <w:t xml:space="preserve"> - ואפילו אם יש בילה*, ונבלל הכל ביחד, ובכל הזאה יש אף מן הכשרים</w:t>
      </w:r>
      <w:r>
        <w:rPr>
          <w:rFonts w:ascii="David" w:hAnsi="David" w:cs="David"/>
          <w:color w:val="0000FF"/>
          <w:sz w:val="24"/>
          <w:szCs w:val="24"/>
          <w:vertAlign w:val="superscript"/>
          <w:rtl/>
        </w:rPr>
        <w:footnoteReference w:customMarkFollows="1" w:id="729"/>
        <w:t>729</w:t>
      </w:r>
      <w:r>
        <w:rPr>
          <w:rFonts w:ascii="David" w:hAnsi="David" w:cs="David"/>
          <w:color w:val="000000"/>
          <w:sz w:val="24"/>
          <w:szCs w:val="24"/>
          <w:rtl/>
        </w:rPr>
        <w:t>, מכל מקום אין שם שיעור, שהרי ההזאה חסרה מפני שמעורב בה אף מן הפסולים</w:t>
      </w:r>
      <w:r>
        <w:rPr>
          <w:rFonts w:ascii="David" w:hAnsi="David" w:cs="David"/>
          <w:color w:val="0000FF"/>
          <w:sz w:val="24"/>
          <w:szCs w:val="24"/>
          <w:vertAlign w:val="superscript"/>
          <w:rtl/>
        </w:rPr>
        <w:footnoteReference w:customMarkFollows="1" w:id="730"/>
        <w:t>730</w:t>
      </w:r>
      <w:r>
        <w:rPr>
          <w:rFonts w:ascii="David" w:hAnsi="David" w:cs="David"/>
          <w:color w:val="000000"/>
          <w:sz w:val="24"/>
          <w:szCs w:val="24"/>
          <w:rtl/>
        </w:rPr>
        <w:t>, ואף אם יזה פעם שניה לא יועיל, שאין הזאות מצטרפות למלא בשניה שיעור החסר בראשונה</w:t>
      </w:r>
      <w:r>
        <w:rPr>
          <w:rFonts w:ascii="David" w:hAnsi="David" w:cs="David"/>
          <w:color w:val="0000FF"/>
          <w:sz w:val="24"/>
          <w:szCs w:val="24"/>
          <w:vertAlign w:val="superscript"/>
          <w:rtl/>
        </w:rPr>
        <w:footnoteReference w:customMarkFollows="1" w:id="731"/>
        <w:t>731</w:t>
      </w:r>
      <w:r>
        <w:rPr>
          <w:rFonts w:ascii="David" w:hAnsi="David" w:cs="David"/>
          <w:color w:val="000000"/>
          <w:sz w:val="24"/>
          <w:szCs w:val="24"/>
          <w:rtl/>
        </w:rPr>
        <w:t>, ויש שכתבו שאף להלכה שהזאה אינה צריכה שיעור</w:t>
      </w:r>
      <w:r>
        <w:rPr>
          <w:rFonts w:ascii="David" w:hAnsi="David" w:cs="David"/>
          <w:color w:val="0000FF"/>
          <w:sz w:val="24"/>
          <w:szCs w:val="24"/>
          <w:vertAlign w:val="superscript"/>
          <w:rtl/>
        </w:rPr>
        <w:footnoteReference w:customMarkFollows="1" w:id="732"/>
        <w:t>732</w:t>
      </w:r>
      <w:r>
        <w:rPr>
          <w:rFonts w:ascii="David" w:hAnsi="David" w:cs="David"/>
          <w:color w:val="000000"/>
          <w:sz w:val="24"/>
          <w:szCs w:val="24"/>
          <w:rtl/>
        </w:rPr>
        <w:t>, החמירו חכמים שמיעוט מים שאינם מקודשים פוסלים את כל התערובת</w:t>
      </w:r>
      <w:r>
        <w:rPr>
          <w:rFonts w:ascii="David" w:hAnsi="David" w:cs="David"/>
          <w:color w:val="0000FF"/>
          <w:sz w:val="24"/>
          <w:szCs w:val="24"/>
          <w:vertAlign w:val="superscript"/>
          <w:rtl/>
        </w:rPr>
        <w:footnoteReference w:customMarkFollows="1" w:id="733"/>
        <w:t>733</w:t>
      </w:r>
      <w:r>
        <w:rPr>
          <w:rFonts w:ascii="David" w:hAnsi="David" w:cs="David"/>
          <w:color w:val="000000"/>
          <w:sz w:val="24"/>
          <w:szCs w:val="24"/>
          <w:rtl/>
        </w:rPr>
        <w:t>, ויש שפירשו שקנס הוא כדי שלא ירויח מתערובת המים בהם</w:t>
      </w:r>
      <w:r>
        <w:rPr>
          <w:rFonts w:ascii="David" w:hAnsi="David" w:cs="David"/>
          <w:color w:val="0000FF"/>
          <w:sz w:val="24"/>
          <w:szCs w:val="24"/>
          <w:vertAlign w:val="superscript"/>
          <w:rtl/>
        </w:rPr>
        <w:footnoteReference w:customMarkFollows="1" w:id="734"/>
        <w:t>734</w:t>
      </w:r>
      <w:r>
        <w:rPr>
          <w:rFonts w:ascii="David" w:hAnsi="David" w:cs="David"/>
          <w:color w:val="000000"/>
          <w:sz w:val="24"/>
          <w:szCs w:val="24"/>
          <w:rtl/>
        </w:rPr>
        <w:t>. וכן שנינו, שצלוחית - שיש בה מים מקודשים</w:t>
      </w:r>
      <w:r>
        <w:rPr>
          <w:rFonts w:ascii="David" w:hAnsi="David" w:cs="David"/>
          <w:color w:val="0000FF"/>
          <w:sz w:val="24"/>
          <w:szCs w:val="24"/>
          <w:vertAlign w:val="superscript"/>
          <w:rtl/>
        </w:rPr>
        <w:footnoteReference w:customMarkFollows="1" w:id="735"/>
        <w:t>735</w:t>
      </w:r>
      <w:r>
        <w:rPr>
          <w:rFonts w:ascii="David" w:hAnsi="David" w:cs="David"/>
          <w:color w:val="000000"/>
          <w:sz w:val="24"/>
          <w:szCs w:val="24"/>
          <w:rtl/>
        </w:rPr>
        <w:t xml:space="preserve"> - שנפלו לתוכה מים כל שהם - היינו אפילו ראויים לקידוש, אלא שלא נתקדשו</w:t>
      </w:r>
      <w:r>
        <w:rPr>
          <w:rFonts w:ascii="David" w:hAnsi="David" w:cs="David"/>
          <w:color w:val="0000FF"/>
          <w:sz w:val="24"/>
          <w:szCs w:val="24"/>
          <w:vertAlign w:val="superscript"/>
          <w:rtl/>
        </w:rPr>
        <w:footnoteReference w:customMarkFollows="1" w:id="736"/>
        <w:t>736</w:t>
      </w:r>
      <w:r>
        <w:rPr>
          <w:rFonts w:ascii="David" w:hAnsi="David" w:cs="David"/>
          <w:color w:val="000000"/>
          <w:sz w:val="24"/>
          <w:szCs w:val="24"/>
          <w:rtl/>
        </w:rPr>
        <w:t xml:space="preserve"> - חכמים פוסלים</w:t>
      </w:r>
      <w:r>
        <w:rPr>
          <w:rFonts w:ascii="David" w:hAnsi="David" w:cs="David"/>
          <w:color w:val="0000FF"/>
          <w:sz w:val="24"/>
          <w:szCs w:val="24"/>
          <w:vertAlign w:val="superscript"/>
          <w:rtl/>
        </w:rPr>
        <w:footnoteReference w:customMarkFollows="1" w:id="737"/>
        <w:t>737</w:t>
      </w:r>
      <w:r>
        <w:rPr>
          <w:rFonts w:ascii="David" w:hAnsi="David" w:cs="David"/>
          <w:color w:val="000000"/>
          <w:sz w:val="24"/>
          <w:szCs w:val="24"/>
          <w:rtl/>
        </w:rPr>
        <w:t>. וכן יש מן הראשונים שכתבו, שאותה ששנינו, ששוקת שהיה בתוכה ספוג, ונגע האדם בספוג, המים שבשוקת פסולים</w:t>
      </w:r>
      <w:r>
        <w:rPr>
          <w:rFonts w:ascii="David" w:hAnsi="David" w:cs="David"/>
          <w:color w:val="0000FF"/>
          <w:sz w:val="24"/>
          <w:szCs w:val="24"/>
          <w:vertAlign w:val="superscript"/>
          <w:rtl/>
        </w:rPr>
        <w:footnoteReference w:customMarkFollows="1" w:id="738"/>
        <w:t>738</w:t>
      </w:r>
      <w:r>
        <w:rPr>
          <w:rFonts w:ascii="David" w:hAnsi="David" w:cs="David"/>
          <w:color w:val="000000"/>
          <w:sz w:val="24"/>
          <w:szCs w:val="24"/>
          <w:rtl/>
        </w:rPr>
        <w:t>, היינו בשוקת שהיו בה מים המקודשים, שהואיל והמים שבספוג לא נתקדשו בשעת הקידוש</w:t>
      </w:r>
      <w:r>
        <w:rPr>
          <w:rFonts w:ascii="David" w:hAnsi="David" w:cs="David"/>
          <w:color w:val="0000FF"/>
          <w:sz w:val="24"/>
          <w:szCs w:val="24"/>
          <w:vertAlign w:val="superscript"/>
          <w:rtl/>
        </w:rPr>
        <w:footnoteReference w:customMarkFollows="1" w:id="739"/>
        <w:t>739</w:t>
      </w:r>
      <w:r>
        <w:rPr>
          <w:rFonts w:ascii="David" w:hAnsi="David" w:cs="David"/>
          <w:color w:val="000000"/>
          <w:sz w:val="24"/>
          <w:szCs w:val="24"/>
          <w:rtl/>
        </w:rPr>
        <w:t>, ובשעה שנוגע בספוג, נסחטים המים שבתוכו לתוך השוקת, נפסלים כל המים שבשוקת בתערובת מים שאינם מקודשים</w:t>
      </w:r>
      <w:r>
        <w:rPr>
          <w:rFonts w:ascii="David" w:hAnsi="David" w:cs="David"/>
          <w:color w:val="0000FF"/>
          <w:sz w:val="24"/>
          <w:szCs w:val="24"/>
          <w:vertAlign w:val="superscript"/>
          <w:rtl/>
        </w:rPr>
        <w:footnoteReference w:customMarkFollows="1" w:id="740"/>
        <w:t>740</w:t>
      </w:r>
      <w:r>
        <w:rPr>
          <w:rFonts w:ascii="David" w:hAnsi="David" w:cs="David"/>
          <w:color w:val="000000"/>
          <w:sz w:val="24"/>
          <w:szCs w:val="24"/>
          <w:rtl/>
        </w:rPr>
        <w:t>. על הסוברים שבשוקת שיש בה מים שאינם מקודשים שנינו, ומשום תערובת מים הפסולים לקידוש במים הראויים לקידוש, עי' לעיל</w:t>
      </w:r>
      <w:r>
        <w:rPr>
          <w:rFonts w:ascii="David" w:hAnsi="David" w:cs="David"/>
          <w:color w:val="0000FF"/>
          <w:sz w:val="24"/>
          <w:szCs w:val="24"/>
          <w:vertAlign w:val="superscript"/>
          <w:rtl/>
        </w:rPr>
        <w:footnoteReference w:customMarkFollows="1" w:id="741"/>
        <w:t>741</w:t>
      </w:r>
      <w:r>
        <w:rPr>
          <w:rFonts w:ascii="David" w:hAnsi="David" w:cs="David"/>
          <w:color w:val="000000"/>
          <w:sz w:val="24"/>
          <w:szCs w:val="24"/>
          <w:rtl/>
        </w:rPr>
        <w:t>. וכן אזוב* שנפלו עליו משקים - כשלא נפסל מחמת כך</w:t>
      </w:r>
      <w:r>
        <w:rPr>
          <w:rFonts w:ascii="David" w:hAnsi="David" w:cs="David"/>
          <w:color w:val="0000FF"/>
          <w:sz w:val="24"/>
          <w:szCs w:val="24"/>
          <w:vertAlign w:val="superscript"/>
          <w:rtl/>
        </w:rPr>
        <w:footnoteReference w:customMarkFollows="1" w:id="742"/>
        <w:t>742</w:t>
      </w:r>
      <w:r>
        <w:rPr>
          <w:rFonts w:ascii="David" w:hAnsi="David" w:cs="David"/>
          <w:color w:val="000000"/>
          <w:sz w:val="24"/>
          <w:szCs w:val="24"/>
          <w:rtl/>
        </w:rPr>
        <w:t xml:space="preserve"> - צריך לנגבו לפני שמזה בו</w:t>
      </w:r>
      <w:r>
        <w:rPr>
          <w:rFonts w:ascii="David" w:hAnsi="David" w:cs="David"/>
          <w:color w:val="0000FF"/>
          <w:sz w:val="24"/>
          <w:szCs w:val="24"/>
          <w:vertAlign w:val="superscript"/>
          <w:rtl/>
        </w:rPr>
        <w:footnoteReference w:customMarkFollows="1" w:id="743"/>
        <w:t>743</w:t>
      </w:r>
      <w:r>
        <w:rPr>
          <w:rFonts w:ascii="David" w:hAnsi="David" w:cs="David"/>
          <w:color w:val="000000"/>
          <w:sz w:val="24"/>
          <w:szCs w:val="24"/>
          <w:rtl/>
        </w:rPr>
        <w:t>, כדי שלא יתערבו מים פסולים במי החטאת</w:t>
      </w:r>
      <w:r>
        <w:rPr>
          <w:rFonts w:ascii="David" w:hAnsi="David" w:cs="David"/>
          <w:color w:val="0000FF"/>
          <w:sz w:val="24"/>
          <w:szCs w:val="24"/>
          <w:vertAlign w:val="superscript"/>
          <w:rtl/>
        </w:rPr>
        <w:footnoteReference w:customMarkFollows="1" w:id="744"/>
        <w:t>744</w:t>
      </w:r>
      <w:r>
        <w:rPr>
          <w:rFonts w:ascii="David" w:hAnsi="David" w:cs="David"/>
          <w:color w:val="000000"/>
          <w:sz w:val="24"/>
          <w:szCs w:val="24"/>
          <w:rtl/>
        </w:rPr>
        <w:t>. על אופנים נוספים של פסול משום תערובת מים שאינם מקודשים במים מקודשים, עי' להלן</w:t>
      </w:r>
      <w:r>
        <w:rPr>
          <w:rFonts w:ascii="David" w:hAnsi="David" w:cs="David"/>
          <w:color w:val="0000FF"/>
          <w:sz w:val="24"/>
          <w:szCs w:val="24"/>
          <w:vertAlign w:val="superscript"/>
          <w:rtl/>
        </w:rPr>
        <w:footnoteReference w:customMarkFollows="1" w:id="745"/>
        <w:t>745</w:t>
      </w:r>
      <w:r>
        <w:rPr>
          <w:rFonts w:ascii="David" w:hAnsi="David" w:cs="David"/>
          <w:color w:val="000000"/>
          <w:sz w:val="24"/>
          <w:szCs w:val="24"/>
          <w:rtl/>
        </w:rPr>
        <w:t xml:space="preserve">. ונחלקו בפסול זה של תערובת מים שאינם מקודשים במים מקודשים: יש מן הראשונים והאחרונים שכתבו שהפסול הוא </w:t>
      </w:r>
    </w:p>
    <w:p w14:paraId="60E3E16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מן התורה, שאף על פי שהמים שאינם מקודשים בטלים ברוב, אינם נעשים כמים מקודשים, שאין הדבר המבוטל מקבל את מעלת המבטל, ונמצא שחסר משיעור הזאה שבהם</w:t>
      </w:r>
      <w:r>
        <w:rPr>
          <w:rFonts w:ascii="David" w:hAnsi="David" w:cs="David"/>
          <w:color w:val="0000FF"/>
          <w:sz w:val="24"/>
          <w:szCs w:val="24"/>
          <w:vertAlign w:val="superscript"/>
          <w:rtl/>
        </w:rPr>
        <w:footnoteReference w:customMarkFollows="1" w:id="746"/>
        <w:t>746</w:t>
      </w:r>
      <w:r>
        <w:rPr>
          <w:rFonts w:ascii="David" w:hAnsi="David" w:cs="David"/>
          <w:color w:val="000000"/>
          <w:sz w:val="24"/>
          <w:szCs w:val="24"/>
          <w:rtl/>
        </w:rPr>
        <w:t>. ויש מן הראשונים שכתבו, שמן התורה המים שאינם מקודשים בטלים ברוב והפסול אינו אלא משום חומר שהחמירו במי חטאת</w:t>
      </w:r>
      <w:r>
        <w:rPr>
          <w:rFonts w:ascii="David" w:hAnsi="David" w:cs="David"/>
          <w:color w:val="0000FF"/>
          <w:sz w:val="24"/>
          <w:szCs w:val="24"/>
          <w:vertAlign w:val="superscript"/>
          <w:rtl/>
        </w:rPr>
        <w:footnoteReference w:customMarkFollows="1" w:id="747"/>
        <w:t>747</w:t>
      </w:r>
      <w:r>
        <w:rPr>
          <w:rFonts w:ascii="David" w:hAnsi="David" w:cs="David"/>
          <w:color w:val="000000"/>
          <w:sz w:val="24"/>
          <w:szCs w:val="24"/>
          <w:rtl/>
        </w:rPr>
        <w:t>, ומן האחרונים יש שביארו, שאף לדעתם אין הדבר המבוטל מקבל את מעלת המבטל, ואף על פי כן אם אין בילה</w:t>
      </w:r>
      <w:r>
        <w:rPr>
          <w:rFonts w:ascii="David" w:hAnsi="David" w:cs="David"/>
          <w:color w:val="0000FF"/>
          <w:sz w:val="24"/>
          <w:szCs w:val="24"/>
          <w:vertAlign w:val="superscript"/>
          <w:rtl/>
        </w:rPr>
        <w:footnoteReference w:customMarkFollows="1" w:id="748"/>
        <w:t>748</w:t>
      </w:r>
      <w:r>
        <w:rPr>
          <w:rFonts w:ascii="David" w:hAnsi="David" w:cs="David"/>
          <w:color w:val="000000"/>
          <w:sz w:val="24"/>
          <w:szCs w:val="24"/>
          <w:rtl/>
        </w:rPr>
        <w:t>, מן התורה יכול להזות ממים אלו, שהואיל ורוב המים מקודשים, יש לתלות שכל שיעור ההזאה שהוזה על הטמא הוא מן המים המקודשים, שהולכים אחר הרוב</w:t>
      </w:r>
      <w:r>
        <w:rPr>
          <w:rFonts w:ascii="David" w:hAnsi="David" w:cs="David"/>
          <w:color w:val="0000FF"/>
          <w:sz w:val="24"/>
          <w:szCs w:val="24"/>
          <w:vertAlign w:val="superscript"/>
          <w:rtl/>
        </w:rPr>
        <w:footnoteReference w:customMarkFollows="1" w:id="749"/>
        <w:t>749</w:t>
      </w:r>
      <w:r>
        <w:rPr>
          <w:rFonts w:ascii="David" w:hAnsi="David" w:cs="David"/>
          <w:color w:val="000000"/>
          <w:sz w:val="24"/>
          <w:szCs w:val="24"/>
          <w:rtl/>
        </w:rPr>
        <w:t>, או שלהלכה, שהזאה אינה צריכה שיעור, אין לפסול משום חסרון שיעור, אלא משום שהחמירו שמיעוט מים שאינם מקודשים פוסלים את כל התערובת</w:t>
      </w:r>
      <w:r>
        <w:rPr>
          <w:rFonts w:ascii="David" w:hAnsi="David" w:cs="David"/>
          <w:color w:val="0000FF"/>
          <w:sz w:val="24"/>
          <w:szCs w:val="24"/>
          <w:vertAlign w:val="superscript"/>
          <w:rtl/>
        </w:rPr>
        <w:footnoteReference w:customMarkFollows="1" w:id="750"/>
        <w:t>750</w:t>
      </w:r>
      <w:r>
        <w:rPr>
          <w:rFonts w:ascii="David" w:hAnsi="David" w:cs="David"/>
          <w:color w:val="000000"/>
          <w:sz w:val="24"/>
          <w:szCs w:val="24"/>
          <w:rtl/>
        </w:rPr>
        <w:t>. ור' אליעזר חולק על כל זה, וסובר שמים שאינם מקודשים שנתערבו במי חטאת לאחר שנתקדשו, אינם פוסלים את כל המים, אם יזה מהם שתי הזאות</w:t>
      </w:r>
      <w:r>
        <w:rPr>
          <w:rFonts w:ascii="David" w:hAnsi="David" w:cs="David"/>
          <w:color w:val="0000FF"/>
          <w:sz w:val="24"/>
          <w:szCs w:val="24"/>
          <w:vertAlign w:val="superscript"/>
          <w:rtl/>
        </w:rPr>
        <w:footnoteReference w:customMarkFollows="1" w:id="751"/>
        <w:t>751</w:t>
      </w:r>
      <w:r>
        <w:rPr>
          <w:rFonts w:ascii="David" w:hAnsi="David" w:cs="David"/>
          <w:color w:val="000000"/>
          <w:sz w:val="24"/>
          <w:szCs w:val="24"/>
          <w:rtl/>
        </w:rPr>
        <w:t>, על ביאור דבריו, ומחלוקת האמוראים בביאור טעמו, ע"ע הזאה (ב)</w:t>
      </w:r>
      <w:r>
        <w:rPr>
          <w:rFonts w:ascii="David" w:hAnsi="David" w:cs="David"/>
          <w:color w:val="0000FF"/>
          <w:sz w:val="24"/>
          <w:szCs w:val="24"/>
          <w:vertAlign w:val="superscript"/>
          <w:rtl/>
        </w:rPr>
        <w:footnoteReference w:customMarkFollows="1" w:id="752"/>
        <w:t>752</w:t>
      </w:r>
      <w:r>
        <w:rPr>
          <w:rFonts w:ascii="David" w:hAnsi="David" w:cs="David"/>
          <w:color w:val="000000"/>
          <w:sz w:val="24"/>
          <w:szCs w:val="24"/>
          <w:rtl/>
        </w:rPr>
        <w:t xml:space="preserve">. </w:t>
      </w:r>
    </w:p>
    <w:p w14:paraId="214B96D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[קידוש תערובת]</w:t>
      </w:r>
    </w:p>
    <w:p w14:paraId="6BE7AA0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המקודשים שנפלו לתוכם מים הראויים לקידוש, וחזר ונתן אפר-חטאת* על התערובת כדי לקדש את המים הראויים לקידוש, יש מן האחרונים סוברים שאין קידושו מועיל, ונשארת התערובת בדינה</w:t>
      </w:r>
      <w:r>
        <w:rPr>
          <w:rFonts w:ascii="David" w:hAnsi="David" w:cs="David"/>
          <w:color w:val="0000FF"/>
          <w:sz w:val="24"/>
          <w:szCs w:val="24"/>
          <w:vertAlign w:val="superscript"/>
          <w:rtl/>
        </w:rPr>
        <w:footnoteReference w:customMarkFollows="1" w:id="753"/>
        <w:t>753</w:t>
      </w:r>
      <w:r>
        <w:rPr>
          <w:rFonts w:ascii="David" w:hAnsi="David" w:cs="David"/>
          <w:color w:val="000000"/>
          <w:sz w:val="24"/>
          <w:szCs w:val="24"/>
          <w:rtl/>
        </w:rPr>
        <w:t>, ומכל מקום אם בשעה שנתן את האפר על המים לקדשם, ראה שהאפר מרובה, והיתה דעתו להוסיף עליו מים, לכשהוסיף מים הרי זו כנתינה אחת, ויכול לחזור ולהוסיף אפר ולקדש את כל התערובת</w:t>
      </w:r>
      <w:r>
        <w:rPr>
          <w:rFonts w:ascii="David" w:hAnsi="David" w:cs="David"/>
          <w:color w:val="0000FF"/>
          <w:sz w:val="24"/>
          <w:szCs w:val="24"/>
          <w:vertAlign w:val="superscript"/>
          <w:rtl/>
        </w:rPr>
        <w:footnoteReference w:customMarkFollows="1" w:id="754"/>
        <w:t>754</w:t>
      </w:r>
      <w:r>
        <w:rPr>
          <w:rFonts w:ascii="David" w:hAnsi="David" w:cs="David"/>
          <w:color w:val="000000"/>
          <w:sz w:val="24"/>
          <w:szCs w:val="24"/>
          <w:rtl/>
        </w:rPr>
        <w:t>. ויש מן האחרונים שכתבו שבכל תערובת מים מקודשים ומים הראויים לקידוש, מועיל קידוש, והוכשרה התערובת, שמתקדשים המים הראויים לקידוש שבתוכה</w:t>
      </w:r>
      <w:r>
        <w:rPr>
          <w:rFonts w:ascii="David" w:hAnsi="David" w:cs="David"/>
          <w:color w:val="0000FF"/>
          <w:sz w:val="24"/>
          <w:szCs w:val="24"/>
          <w:vertAlign w:val="superscript"/>
          <w:rtl/>
        </w:rPr>
        <w:footnoteReference w:customMarkFollows="1" w:id="755"/>
        <w:t>755</w:t>
      </w:r>
      <w:r>
        <w:rPr>
          <w:rFonts w:ascii="David" w:hAnsi="David" w:cs="David"/>
          <w:color w:val="000000"/>
          <w:sz w:val="24"/>
          <w:szCs w:val="24"/>
          <w:rtl/>
        </w:rPr>
        <w:t>, ומה שאמרו חכמים שמים המקודשים שנתערבו בהם מים שאינם מקודשים, פסולים</w:t>
      </w:r>
      <w:r>
        <w:rPr>
          <w:rFonts w:ascii="David" w:hAnsi="David" w:cs="David"/>
          <w:color w:val="0000FF"/>
          <w:sz w:val="24"/>
          <w:szCs w:val="24"/>
          <w:vertAlign w:val="superscript"/>
          <w:rtl/>
        </w:rPr>
        <w:footnoteReference w:customMarkFollows="1" w:id="756"/>
        <w:t>756</w:t>
      </w:r>
      <w:r>
        <w:rPr>
          <w:rFonts w:ascii="David" w:hAnsi="David" w:cs="David"/>
          <w:color w:val="000000"/>
          <w:sz w:val="24"/>
          <w:szCs w:val="24"/>
          <w:rtl/>
        </w:rPr>
        <w:t>, היינו כל זמן שלא חזר וקידשם</w:t>
      </w:r>
      <w:r>
        <w:rPr>
          <w:rFonts w:ascii="David" w:hAnsi="David" w:cs="David"/>
          <w:color w:val="0000FF"/>
          <w:sz w:val="24"/>
          <w:szCs w:val="24"/>
          <w:vertAlign w:val="superscript"/>
          <w:rtl/>
        </w:rPr>
        <w:footnoteReference w:customMarkFollows="1" w:id="757"/>
        <w:t>757</w:t>
      </w:r>
      <w:r>
        <w:rPr>
          <w:rFonts w:ascii="David" w:hAnsi="David" w:cs="David"/>
          <w:color w:val="000000"/>
          <w:sz w:val="24"/>
          <w:szCs w:val="24"/>
          <w:rtl/>
        </w:rPr>
        <w:t xml:space="preserve">. </w:t>
      </w:r>
    </w:p>
    <w:p w14:paraId="317381A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[לחלוחית שבכלי]</w:t>
      </w:r>
    </w:p>
    <w:p w14:paraId="3742924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אף כשלא נשאר בכלי אלא לחלוחית, צריך לנגב הכלי, לפני שנותן לתוכו מי חטאת</w:t>
      </w:r>
      <w:r>
        <w:rPr>
          <w:rFonts w:ascii="David" w:hAnsi="David" w:cs="David"/>
          <w:color w:val="0000FF"/>
          <w:sz w:val="24"/>
          <w:szCs w:val="24"/>
          <w:vertAlign w:val="superscript"/>
          <w:rtl/>
        </w:rPr>
        <w:footnoteReference w:customMarkFollows="1" w:id="758"/>
        <w:t>758</w:t>
      </w:r>
      <w:r>
        <w:rPr>
          <w:rFonts w:ascii="David" w:hAnsi="David" w:cs="David"/>
          <w:color w:val="000000"/>
          <w:sz w:val="24"/>
          <w:szCs w:val="24"/>
          <w:rtl/>
        </w:rPr>
        <w:t>, ואם לא ניגב, הרי זה כשאר תערובת מים במי חטאת ופסול לדעת חכמים</w:t>
      </w:r>
      <w:r>
        <w:rPr>
          <w:rFonts w:ascii="David" w:hAnsi="David" w:cs="David"/>
          <w:color w:val="0000FF"/>
          <w:sz w:val="24"/>
          <w:szCs w:val="24"/>
          <w:vertAlign w:val="superscript"/>
          <w:rtl/>
        </w:rPr>
        <w:footnoteReference w:customMarkFollows="1" w:id="759"/>
        <w:t>759</w:t>
      </w:r>
      <w:r>
        <w:rPr>
          <w:rFonts w:ascii="David" w:hAnsi="David" w:cs="David"/>
          <w:color w:val="000000"/>
          <w:sz w:val="24"/>
          <w:szCs w:val="24"/>
          <w:rtl/>
        </w:rPr>
        <w:t>. וכן שנינו במטביל כלי לחטאת כדי ליתן לתוכו מים מקודשים, שצריך לנגבו מלחלוחית מי המקוה שבו, משום תערובת מים שאינם מקודשים</w:t>
      </w:r>
      <w:r>
        <w:rPr>
          <w:rFonts w:ascii="David" w:hAnsi="David" w:cs="David"/>
          <w:color w:val="0000FF"/>
          <w:sz w:val="24"/>
          <w:szCs w:val="24"/>
          <w:vertAlign w:val="superscript"/>
          <w:rtl/>
        </w:rPr>
        <w:footnoteReference w:customMarkFollows="1" w:id="760"/>
        <w:t>760</w:t>
      </w:r>
      <w:r>
        <w:rPr>
          <w:rFonts w:ascii="David" w:hAnsi="David" w:cs="David"/>
          <w:color w:val="000000"/>
          <w:sz w:val="24"/>
          <w:szCs w:val="24"/>
          <w:rtl/>
        </w:rPr>
        <w:t>. על הטעם שאין המים שאינם מקודשים מתקדשים בנתינת המים המקודשים עליהם, עי' לעיל: הקידוש</w:t>
      </w:r>
      <w:r>
        <w:rPr>
          <w:rFonts w:ascii="David" w:hAnsi="David" w:cs="David"/>
          <w:color w:val="0000FF"/>
          <w:sz w:val="24"/>
          <w:szCs w:val="24"/>
          <w:vertAlign w:val="superscript"/>
          <w:rtl/>
        </w:rPr>
        <w:footnoteReference w:customMarkFollows="1" w:id="761"/>
        <w:t>761</w:t>
      </w:r>
      <w:r>
        <w:rPr>
          <w:rFonts w:ascii="David" w:hAnsi="David" w:cs="David"/>
          <w:color w:val="000000"/>
          <w:sz w:val="24"/>
          <w:szCs w:val="24"/>
          <w:rtl/>
        </w:rPr>
        <w:t>. וכן מים מקודשים שנפלו לתוכם משקים ומי פירות, שהמים נפסלו וצריך לערותם</w:t>
      </w:r>
      <w:r>
        <w:rPr>
          <w:rFonts w:ascii="David" w:hAnsi="David" w:cs="David"/>
          <w:color w:val="0000FF"/>
          <w:sz w:val="24"/>
          <w:szCs w:val="24"/>
          <w:vertAlign w:val="superscript"/>
          <w:rtl/>
        </w:rPr>
        <w:footnoteReference w:customMarkFollows="1" w:id="762"/>
        <w:t>762</w:t>
      </w:r>
      <w:r>
        <w:rPr>
          <w:rFonts w:ascii="David" w:hAnsi="David" w:cs="David"/>
          <w:color w:val="000000"/>
          <w:sz w:val="24"/>
          <w:szCs w:val="24"/>
          <w:rtl/>
        </w:rPr>
        <w:t>, צריך לנגב הכלי ואחר כך יתן לתוכו מים מקודשים אחרים</w:t>
      </w:r>
      <w:r>
        <w:rPr>
          <w:rFonts w:ascii="David" w:hAnsi="David" w:cs="David"/>
          <w:color w:val="0000FF"/>
          <w:sz w:val="24"/>
          <w:szCs w:val="24"/>
          <w:vertAlign w:val="superscript"/>
          <w:rtl/>
        </w:rPr>
        <w:footnoteReference w:customMarkFollows="1" w:id="763"/>
        <w:t>763</w:t>
      </w:r>
      <w:r>
        <w:rPr>
          <w:rFonts w:ascii="David" w:hAnsi="David" w:cs="David"/>
          <w:color w:val="000000"/>
          <w:sz w:val="24"/>
          <w:szCs w:val="24"/>
          <w:rtl/>
        </w:rPr>
        <w:t xml:space="preserve">. אבל אם נפל לתוכם דיו או קומוס או קנקנתום או כל דבר שהוא רושם, ועירה </w:t>
      </w:r>
    </w:p>
    <w:p w14:paraId="0FF3869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w:t>
      </w:r>
      <w:r>
        <w:rPr>
          <w:rFonts w:ascii="David" w:hAnsi="David" w:cs="David"/>
          <w:color w:val="0000FF"/>
          <w:sz w:val="24"/>
          <w:szCs w:val="24"/>
          <w:vertAlign w:val="superscript"/>
          <w:rtl/>
        </w:rPr>
        <w:footnoteReference w:customMarkFollows="1" w:id="764"/>
        <w:t>764</w:t>
      </w:r>
      <w:r>
        <w:rPr>
          <w:rFonts w:ascii="David" w:hAnsi="David" w:cs="David"/>
          <w:color w:val="000000"/>
          <w:sz w:val="24"/>
          <w:szCs w:val="24"/>
          <w:rtl/>
        </w:rPr>
        <w:t>, אינו צריך לנגב</w:t>
      </w:r>
      <w:r>
        <w:rPr>
          <w:rFonts w:ascii="David" w:hAnsi="David" w:cs="David"/>
          <w:color w:val="0000FF"/>
          <w:sz w:val="24"/>
          <w:szCs w:val="24"/>
          <w:vertAlign w:val="superscript"/>
          <w:rtl/>
        </w:rPr>
        <w:footnoteReference w:customMarkFollows="1" w:id="765"/>
        <w:t>765</w:t>
      </w:r>
      <w:r>
        <w:rPr>
          <w:rFonts w:ascii="David" w:hAnsi="David" w:cs="David"/>
          <w:color w:val="000000"/>
          <w:sz w:val="24"/>
          <w:szCs w:val="24"/>
          <w:rtl/>
        </w:rPr>
        <w:t>, אם לא נשאר שם רושם</w:t>
      </w:r>
      <w:r>
        <w:rPr>
          <w:rFonts w:ascii="David" w:hAnsi="David" w:cs="David"/>
          <w:color w:val="0000FF"/>
          <w:sz w:val="24"/>
          <w:szCs w:val="24"/>
          <w:vertAlign w:val="superscript"/>
          <w:rtl/>
        </w:rPr>
        <w:footnoteReference w:customMarkFollows="1" w:id="766"/>
        <w:t>766</w:t>
      </w:r>
      <w:r>
        <w:rPr>
          <w:rFonts w:ascii="David" w:hAnsi="David" w:cs="David"/>
          <w:color w:val="000000"/>
          <w:sz w:val="24"/>
          <w:szCs w:val="24"/>
          <w:rtl/>
        </w:rPr>
        <w:t>, שאם ישאר שם דבר הרושם הרי הוא נראה</w:t>
      </w:r>
      <w:r>
        <w:rPr>
          <w:rFonts w:ascii="David" w:hAnsi="David" w:cs="David"/>
          <w:color w:val="0000FF"/>
          <w:sz w:val="24"/>
          <w:szCs w:val="24"/>
          <w:vertAlign w:val="superscript"/>
          <w:rtl/>
        </w:rPr>
        <w:footnoteReference w:customMarkFollows="1" w:id="767"/>
        <w:t>767</w:t>
      </w:r>
      <w:r>
        <w:rPr>
          <w:rFonts w:ascii="David" w:hAnsi="David" w:cs="David"/>
          <w:color w:val="000000"/>
          <w:sz w:val="24"/>
          <w:szCs w:val="24"/>
          <w:rtl/>
        </w:rPr>
        <w:t>, ואף על פי שנשארה לחלוחית מן הדיו בדופן הכלי, הואיל ומן התורה בטילה ברוב, אלא שבמי חטאת משום חומרתם החמירו בהם, לסוברים כן</w:t>
      </w:r>
      <w:r>
        <w:rPr>
          <w:rFonts w:ascii="David" w:hAnsi="David" w:cs="David"/>
          <w:color w:val="0000FF"/>
          <w:sz w:val="24"/>
          <w:szCs w:val="24"/>
          <w:vertAlign w:val="superscript"/>
          <w:rtl/>
        </w:rPr>
        <w:footnoteReference w:customMarkFollows="1" w:id="768"/>
        <w:t>768</w:t>
      </w:r>
      <w:r>
        <w:rPr>
          <w:rFonts w:ascii="David" w:hAnsi="David" w:cs="David"/>
          <w:color w:val="000000"/>
          <w:sz w:val="24"/>
          <w:szCs w:val="24"/>
          <w:rtl/>
        </w:rPr>
        <w:t>, לא גזרו אלא בתערובת ממשות, ולא במשהו הדבוק בכלי</w:t>
      </w:r>
      <w:r>
        <w:rPr>
          <w:rFonts w:ascii="David" w:hAnsi="David" w:cs="David"/>
          <w:color w:val="0000FF"/>
          <w:sz w:val="24"/>
          <w:szCs w:val="24"/>
          <w:vertAlign w:val="superscript"/>
          <w:rtl/>
        </w:rPr>
        <w:footnoteReference w:customMarkFollows="1" w:id="769"/>
        <w:t>769</w:t>
      </w:r>
      <w:r>
        <w:rPr>
          <w:rFonts w:ascii="David" w:hAnsi="David" w:cs="David"/>
          <w:color w:val="000000"/>
          <w:sz w:val="24"/>
          <w:szCs w:val="24"/>
          <w:rtl/>
        </w:rPr>
        <w:t>, ויש שכתבו, שדרך דבר העב המתערב במים לצאת בשעת עירוי המים ולהיגרר אחר הקילוח, ולפיכך אם לא נשאר רושם בכלי, כשר</w:t>
      </w:r>
      <w:r>
        <w:rPr>
          <w:rFonts w:ascii="David" w:hAnsi="David" w:cs="David"/>
          <w:color w:val="0000FF"/>
          <w:sz w:val="24"/>
          <w:szCs w:val="24"/>
          <w:vertAlign w:val="superscript"/>
          <w:rtl/>
        </w:rPr>
        <w:footnoteReference w:customMarkFollows="1" w:id="770"/>
        <w:t>770</w:t>
      </w:r>
      <w:r>
        <w:rPr>
          <w:rFonts w:ascii="David" w:hAnsi="David" w:cs="David"/>
          <w:color w:val="000000"/>
          <w:sz w:val="24"/>
          <w:szCs w:val="24"/>
          <w:rtl/>
        </w:rPr>
        <w:t>, ויש מפרשים בדעת ראשונים, שקומוס וקנקנתום יבשים הם, ואף לענין דיו בדיו יבש הדברים אמורים, וכשהוא מערה לא נשאר ממנו כלום, ואפילו אם נשאר ממנו אינו מתערב במים המקודשים</w:t>
      </w:r>
      <w:r>
        <w:rPr>
          <w:rFonts w:ascii="David" w:hAnsi="David" w:cs="David"/>
          <w:color w:val="0000FF"/>
          <w:sz w:val="24"/>
          <w:szCs w:val="24"/>
          <w:vertAlign w:val="superscript"/>
          <w:rtl/>
        </w:rPr>
        <w:footnoteReference w:customMarkFollows="1" w:id="771"/>
        <w:t>771</w:t>
      </w:r>
      <w:r>
        <w:rPr>
          <w:rFonts w:ascii="David" w:hAnsi="David" w:cs="David"/>
          <w:color w:val="000000"/>
          <w:sz w:val="24"/>
          <w:szCs w:val="24"/>
          <w:rtl/>
        </w:rPr>
        <w:t>, ומעיקר הדין די בכך שיוציא את הדיו מהמים, ואין צריך לערות את כל המים מן הכלי, וזו שהצריכו לערות אינה אלא חומרא בעלמא, או מפני שחששו שישהוהו במים עד שישתנה מראה המים מחמת הדיו</w:t>
      </w:r>
      <w:r>
        <w:rPr>
          <w:rFonts w:ascii="David" w:hAnsi="David" w:cs="David"/>
          <w:color w:val="0000FF"/>
          <w:sz w:val="24"/>
          <w:szCs w:val="24"/>
          <w:vertAlign w:val="superscript"/>
          <w:rtl/>
        </w:rPr>
        <w:footnoteReference w:customMarkFollows="1" w:id="772"/>
        <w:t>772</w:t>
      </w:r>
      <w:r>
        <w:rPr>
          <w:rFonts w:ascii="David" w:hAnsi="David" w:cs="David"/>
          <w:color w:val="000000"/>
          <w:sz w:val="24"/>
          <w:szCs w:val="24"/>
          <w:rtl/>
        </w:rPr>
        <w:t xml:space="preserve">. </w:t>
      </w:r>
    </w:p>
    <w:p w14:paraId="0C800B6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[קרויה שבלעה]</w:t>
      </w:r>
    </w:p>
    <w:p w14:paraId="27433EF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קרויה - דלעת שעשאוה חלולה כדי לשאוב בה, והיא מתרככת ודרכה לבלוע ולפלוט</w:t>
      </w:r>
      <w:r>
        <w:rPr>
          <w:rFonts w:ascii="David" w:hAnsi="David" w:cs="David"/>
          <w:color w:val="0000FF"/>
          <w:sz w:val="24"/>
          <w:szCs w:val="24"/>
          <w:vertAlign w:val="superscript"/>
          <w:rtl/>
        </w:rPr>
        <w:footnoteReference w:customMarkFollows="1" w:id="773"/>
        <w:t>773</w:t>
      </w:r>
      <w:r>
        <w:rPr>
          <w:rFonts w:ascii="David" w:hAnsi="David" w:cs="David"/>
          <w:color w:val="000000"/>
          <w:sz w:val="24"/>
          <w:szCs w:val="24"/>
          <w:rtl/>
        </w:rPr>
        <w:t xml:space="preserve"> - שהטבילוה - טבילה לשם מעלת חטאת</w:t>
      </w:r>
      <w:r>
        <w:rPr>
          <w:rFonts w:ascii="David" w:hAnsi="David" w:cs="David"/>
          <w:color w:val="0000FF"/>
          <w:sz w:val="24"/>
          <w:szCs w:val="24"/>
          <w:vertAlign w:val="superscript"/>
          <w:rtl/>
        </w:rPr>
        <w:footnoteReference w:customMarkFollows="1" w:id="774"/>
        <w:t>774</w:t>
      </w:r>
      <w:r>
        <w:rPr>
          <w:rFonts w:ascii="David" w:hAnsi="David" w:cs="David"/>
          <w:color w:val="000000"/>
          <w:sz w:val="24"/>
          <w:szCs w:val="24"/>
          <w:rtl/>
        </w:rPr>
        <w:t>, ולא משום טומאה</w:t>
      </w:r>
      <w:r>
        <w:rPr>
          <w:rFonts w:ascii="David" w:hAnsi="David" w:cs="David"/>
          <w:color w:val="0000FF"/>
          <w:sz w:val="24"/>
          <w:szCs w:val="24"/>
          <w:vertAlign w:val="superscript"/>
          <w:rtl/>
        </w:rPr>
        <w:footnoteReference w:customMarkFollows="1" w:id="775"/>
        <w:t>775</w:t>
      </w:r>
      <w:r>
        <w:rPr>
          <w:rFonts w:ascii="David" w:hAnsi="David" w:cs="David"/>
          <w:color w:val="000000"/>
          <w:sz w:val="24"/>
          <w:szCs w:val="24"/>
          <w:rtl/>
        </w:rPr>
        <w:t>, על קרויה שנטמאה והטבילוה לטהרה, עי' להלן: פסולם מחמת טומאה</w:t>
      </w:r>
      <w:r>
        <w:rPr>
          <w:rFonts w:ascii="David" w:hAnsi="David" w:cs="David"/>
          <w:color w:val="0000FF"/>
          <w:sz w:val="24"/>
          <w:szCs w:val="24"/>
          <w:vertAlign w:val="superscript"/>
          <w:rtl/>
        </w:rPr>
        <w:footnoteReference w:customMarkFollows="1" w:id="776"/>
        <w:t>776</w:t>
      </w:r>
      <w:r>
        <w:rPr>
          <w:rFonts w:ascii="David" w:hAnsi="David" w:cs="David"/>
          <w:color w:val="000000"/>
          <w:sz w:val="24"/>
          <w:szCs w:val="24"/>
          <w:rtl/>
        </w:rPr>
        <w:t xml:space="preserve"> - במים שאינם ראויים לקידוש, נחלקו בה ראשונים: יש גורסים במשנה שבזה נחלקו תנא קמא ורבי יהושע, אם מקדשים מי חטאת בקרויה שהטבילוה, שלדעת תנא קמא מקדשים בה, ולדעת רבי יהושע כשם שכשנטמאת אין מקדשים בה</w:t>
      </w:r>
      <w:r>
        <w:rPr>
          <w:rFonts w:ascii="David" w:hAnsi="David" w:cs="David"/>
          <w:color w:val="0000FF"/>
          <w:sz w:val="24"/>
          <w:szCs w:val="24"/>
          <w:vertAlign w:val="superscript"/>
          <w:rtl/>
        </w:rPr>
        <w:footnoteReference w:customMarkFollows="1" w:id="777"/>
        <w:t>777</w:t>
      </w:r>
      <w:r>
        <w:rPr>
          <w:rFonts w:ascii="David" w:hAnsi="David" w:cs="David"/>
          <w:color w:val="000000"/>
          <w:sz w:val="24"/>
          <w:szCs w:val="24"/>
          <w:rtl/>
        </w:rPr>
        <w:t>, כך אף כשלא נטמאת אין מקדשים בה</w:t>
      </w:r>
      <w:r>
        <w:rPr>
          <w:rFonts w:ascii="David" w:hAnsi="David" w:cs="David"/>
          <w:color w:val="0000FF"/>
          <w:sz w:val="24"/>
          <w:szCs w:val="24"/>
          <w:vertAlign w:val="superscript"/>
          <w:rtl/>
        </w:rPr>
        <w:footnoteReference w:customMarkFollows="1" w:id="778"/>
        <w:t>778</w:t>
      </w:r>
      <w:r>
        <w:rPr>
          <w:rFonts w:ascii="David" w:hAnsi="David" w:cs="David"/>
          <w:color w:val="000000"/>
          <w:sz w:val="24"/>
          <w:szCs w:val="24"/>
          <w:rtl/>
        </w:rPr>
        <w:t>, שלדעת תנא קמא מקדשים בה אף כשהטבילוה במים שאינם ראויים לקידוש, לאחר שניגבוה מן הטבילה</w:t>
      </w:r>
      <w:r>
        <w:rPr>
          <w:rFonts w:ascii="David" w:hAnsi="David" w:cs="David"/>
          <w:color w:val="0000FF"/>
          <w:sz w:val="24"/>
          <w:szCs w:val="24"/>
          <w:vertAlign w:val="superscript"/>
          <w:rtl/>
        </w:rPr>
        <w:footnoteReference w:customMarkFollows="1" w:id="779"/>
        <w:t>779</w:t>
      </w:r>
      <w:r>
        <w:rPr>
          <w:rFonts w:ascii="David" w:hAnsi="David" w:cs="David"/>
          <w:color w:val="000000"/>
          <w:sz w:val="24"/>
          <w:szCs w:val="24"/>
          <w:rtl/>
        </w:rPr>
        <w:t>, ואין חוששים שמא בלעה מים שאינם ראויים לקידוש, ותחזור ותפלוט</w:t>
      </w:r>
      <w:r>
        <w:rPr>
          <w:rFonts w:ascii="David" w:hAnsi="David" w:cs="David"/>
          <w:color w:val="0000FF"/>
          <w:sz w:val="24"/>
          <w:szCs w:val="24"/>
          <w:vertAlign w:val="superscript"/>
          <w:rtl/>
        </w:rPr>
        <w:footnoteReference w:customMarkFollows="1" w:id="780"/>
        <w:t>780</w:t>
      </w:r>
      <w:r>
        <w:rPr>
          <w:rFonts w:ascii="David" w:hAnsi="David" w:cs="David"/>
          <w:color w:val="000000"/>
          <w:sz w:val="24"/>
          <w:szCs w:val="24"/>
          <w:rtl/>
        </w:rPr>
        <w:t>, לפי שאף אם תפלוט, הרי מן התורה הטיפה בטלה ברוב מים הראויים לקידוש, ואינה פוסלת אלא משום חומר מי חטאת</w:t>
      </w:r>
      <w:r>
        <w:rPr>
          <w:rFonts w:ascii="David" w:hAnsi="David" w:cs="David"/>
          <w:color w:val="0000FF"/>
          <w:sz w:val="24"/>
          <w:szCs w:val="24"/>
          <w:vertAlign w:val="superscript"/>
          <w:rtl/>
        </w:rPr>
        <w:footnoteReference w:customMarkFollows="1" w:id="781"/>
        <w:t>781</w:t>
      </w:r>
      <w:r>
        <w:rPr>
          <w:rFonts w:ascii="David" w:hAnsi="David" w:cs="David"/>
          <w:color w:val="000000"/>
          <w:sz w:val="24"/>
          <w:szCs w:val="24"/>
          <w:rtl/>
        </w:rPr>
        <w:t>, הלכך לא החמירו לחוש שמא תפלוט</w:t>
      </w:r>
      <w:r>
        <w:rPr>
          <w:rFonts w:ascii="David" w:hAnsi="David" w:cs="David"/>
          <w:color w:val="0000FF"/>
          <w:sz w:val="24"/>
          <w:szCs w:val="24"/>
          <w:vertAlign w:val="superscript"/>
          <w:rtl/>
        </w:rPr>
        <w:footnoteReference w:customMarkFollows="1" w:id="782"/>
        <w:t>782</w:t>
      </w:r>
      <w:r>
        <w:rPr>
          <w:rFonts w:ascii="David" w:hAnsi="David" w:cs="David"/>
          <w:color w:val="000000"/>
          <w:sz w:val="24"/>
          <w:szCs w:val="24"/>
          <w:rtl/>
        </w:rPr>
        <w:t>, ואין זה דומה לקרויה שבלעה משקים טמאים שאין מקדשים בה, מחשש שמא תפלוט</w:t>
      </w:r>
      <w:r>
        <w:rPr>
          <w:rFonts w:ascii="David" w:hAnsi="David" w:cs="David"/>
          <w:color w:val="0000FF"/>
          <w:sz w:val="24"/>
          <w:szCs w:val="24"/>
          <w:vertAlign w:val="superscript"/>
          <w:rtl/>
        </w:rPr>
        <w:footnoteReference w:customMarkFollows="1" w:id="783"/>
        <w:t>783</w:t>
      </w:r>
      <w:r>
        <w:rPr>
          <w:rFonts w:ascii="David" w:hAnsi="David" w:cs="David"/>
          <w:color w:val="000000"/>
          <w:sz w:val="24"/>
          <w:szCs w:val="24"/>
          <w:rtl/>
        </w:rPr>
        <w:t>, אף על פי שמשקים טמאים אינם מטמאים אלא מדרבנן</w:t>
      </w:r>
      <w:r>
        <w:rPr>
          <w:rFonts w:ascii="David" w:hAnsi="David" w:cs="David"/>
          <w:color w:val="0000FF"/>
          <w:sz w:val="24"/>
          <w:szCs w:val="24"/>
          <w:vertAlign w:val="superscript"/>
          <w:rtl/>
        </w:rPr>
        <w:footnoteReference w:customMarkFollows="1" w:id="784"/>
        <w:t>784</w:t>
      </w:r>
      <w:r>
        <w:rPr>
          <w:rFonts w:ascii="David" w:hAnsi="David" w:cs="David"/>
          <w:color w:val="000000"/>
          <w:sz w:val="24"/>
          <w:szCs w:val="24"/>
          <w:rtl/>
        </w:rPr>
        <w:t>, שטומאת משקים גזירה דרבנן גמורה היא, אבל חומר שהחמירו במי חטאת שנפסלים על ידי תערובת מים חומרא בעלמא היא, ולכך לא החמירו לחוש בזה שמא תפלוט הקרויה</w:t>
      </w:r>
      <w:r>
        <w:rPr>
          <w:rFonts w:ascii="David" w:hAnsi="David" w:cs="David"/>
          <w:color w:val="0000FF"/>
          <w:sz w:val="24"/>
          <w:szCs w:val="24"/>
          <w:vertAlign w:val="superscript"/>
          <w:rtl/>
        </w:rPr>
        <w:footnoteReference w:customMarkFollows="1" w:id="785"/>
        <w:t>785</w:t>
      </w:r>
      <w:r>
        <w:rPr>
          <w:rFonts w:ascii="David" w:hAnsi="David" w:cs="David"/>
          <w:color w:val="000000"/>
          <w:sz w:val="24"/>
          <w:szCs w:val="24"/>
          <w:rtl/>
        </w:rPr>
        <w:t xml:space="preserve">. ולדעת ר' יהושע, החמירו במי חטאת לחשוש </w:t>
      </w:r>
    </w:p>
    <w:p w14:paraId="59D493C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לפליטת מים שאינם ראויים, אף על פי שאינם פוסלים אלא מדרבנן, כשם שהחמירו בקרויה שבלעה משקים טמאים, שאף על פי שטומאתם מדרבנן אין מקדשים בה</w:t>
      </w:r>
      <w:r>
        <w:rPr>
          <w:rFonts w:ascii="David" w:hAnsi="David" w:cs="David"/>
          <w:color w:val="0000FF"/>
          <w:sz w:val="24"/>
          <w:szCs w:val="24"/>
          <w:vertAlign w:val="superscript"/>
          <w:rtl/>
        </w:rPr>
        <w:footnoteReference w:customMarkFollows="1" w:id="786"/>
        <w:t>786</w:t>
      </w:r>
      <w:r>
        <w:rPr>
          <w:rFonts w:ascii="David" w:hAnsi="David" w:cs="David"/>
          <w:color w:val="000000"/>
          <w:sz w:val="24"/>
          <w:szCs w:val="24"/>
          <w:rtl/>
        </w:rPr>
        <w:t>. ויש מן הראשונים שגורסים שלא בזה נחלקו תנא קמא ורבי יהושע</w:t>
      </w:r>
      <w:r>
        <w:rPr>
          <w:rFonts w:ascii="David" w:hAnsi="David" w:cs="David"/>
          <w:color w:val="0000FF"/>
          <w:sz w:val="24"/>
          <w:szCs w:val="24"/>
          <w:vertAlign w:val="superscript"/>
          <w:rtl/>
        </w:rPr>
        <w:footnoteReference w:customMarkFollows="1" w:id="787"/>
        <w:t>787</w:t>
      </w:r>
      <w:r>
        <w:rPr>
          <w:rFonts w:ascii="David" w:hAnsi="David" w:cs="David"/>
          <w:color w:val="000000"/>
          <w:sz w:val="24"/>
          <w:szCs w:val="24"/>
          <w:rtl/>
        </w:rPr>
        <w:t>, ולדעתם כשהטבילוה במים שאינם ראויים לקידוש לדברי הכל אין מקדשים בה</w:t>
      </w:r>
      <w:r>
        <w:rPr>
          <w:rFonts w:ascii="David" w:hAnsi="David" w:cs="David"/>
          <w:color w:val="0000FF"/>
          <w:sz w:val="24"/>
          <w:szCs w:val="24"/>
          <w:vertAlign w:val="superscript"/>
          <w:rtl/>
        </w:rPr>
        <w:footnoteReference w:customMarkFollows="1" w:id="788"/>
        <w:t>788</w:t>
      </w:r>
      <w:r>
        <w:rPr>
          <w:rFonts w:ascii="David" w:hAnsi="David" w:cs="David"/>
          <w:color w:val="000000"/>
          <w:sz w:val="24"/>
          <w:szCs w:val="24"/>
          <w:rtl/>
        </w:rPr>
        <w:t>, שהמים היוצאים מדפנותיה פוסלים הכל</w:t>
      </w:r>
      <w:r>
        <w:rPr>
          <w:rFonts w:ascii="David" w:hAnsi="David" w:cs="David"/>
          <w:color w:val="0000FF"/>
          <w:sz w:val="24"/>
          <w:szCs w:val="24"/>
          <w:vertAlign w:val="superscript"/>
          <w:rtl/>
        </w:rPr>
        <w:footnoteReference w:customMarkFollows="1" w:id="789"/>
        <w:t>789</w:t>
      </w:r>
      <w:r>
        <w:rPr>
          <w:rFonts w:ascii="David" w:hAnsi="David" w:cs="David"/>
          <w:color w:val="000000"/>
          <w:sz w:val="24"/>
          <w:szCs w:val="24"/>
          <w:rtl/>
        </w:rPr>
        <w:t xml:space="preserve">. </w:t>
      </w:r>
    </w:p>
    <w:p w14:paraId="4B361CA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[במים הראויים לקידוש]</w:t>
      </w:r>
    </w:p>
    <w:p w14:paraId="75F5E09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הטבילו את הקרויה במים הראויים לקידוש, נחלקו בדינה: יש מן הראשונים שגורסים שבזה הוא שנחלקו תנא קמא ורבי יהושע, שלדעת תנא קמא מקדשים בה מי חטאת, ולדעת רבי יהושע אין מקדשים בה</w:t>
      </w:r>
      <w:r>
        <w:rPr>
          <w:rFonts w:ascii="David" w:hAnsi="David" w:cs="David"/>
          <w:color w:val="0000FF"/>
          <w:sz w:val="24"/>
          <w:szCs w:val="24"/>
          <w:vertAlign w:val="superscript"/>
          <w:rtl/>
        </w:rPr>
        <w:footnoteReference w:customMarkFollows="1" w:id="790"/>
        <w:t>790</w:t>
      </w:r>
      <w:r>
        <w:rPr>
          <w:rFonts w:ascii="David" w:hAnsi="David" w:cs="David"/>
          <w:color w:val="000000"/>
          <w:sz w:val="24"/>
          <w:szCs w:val="24"/>
          <w:rtl/>
        </w:rPr>
        <w:t>. ויש מן הראשונים שגורסים שמחלוקת תנא קמא ורבי יהושע היא בענין אחר</w:t>
      </w:r>
      <w:r>
        <w:rPr>
          <w:rFonts w:ascii="David" w:hAnsi="David" w:cs="David"/>
          <w:color w:val="0000FF"/>
          <w:sz w:val="24"/>
          <w:szCs w:val="24"/>
          <w:vertAlign w:val="superscript"/>
          <w:rtl/>
        </w:rPr>
        <w:footnoteReference w:customMarkFollows="1" w:id="791"/>
        <w:t>791</w:t>
      </w:r>
      <w:r>
        <w:rPr>
          <w:rFonts w:ascii="David" w:hAnsi="David" w:cs="David"/>
          <w:color w:val="000000"/>
          <w:sz w:val="24"/>
          <w:szCs w:val="24"/>
          <w:rtl/>
        </w:rPr>
        <w:t>, ולדעתם כתבו אחרונים, שאם הטבילוה במים הראויים לקדש, אף לדעת ר' יהושע מקדשים בה</w:t>
      </w:r>
      <w:r>
        <w:rPr>
          <w:rFonts w:ascii="David" w:hAnsi="David" w:cs="David"/>
          <w:color w:val="0000FF"/>
          <w:sz w:val="24"/>
          <w:szCs w:val="24"/>
          <w:vertAlign w:val="superscript"/>
          <w:rtl/>
        </w:rPr>
        <w:footnoteReference w:customMarkFollows="1" w:id="792"/>
        <w:t>792</w:t>
      </w:r>
      <w:r>
        <w:rPr>
          <w:rFonts w:ascii="David" w:hAnsi="David" w:cs="David"/>
          <w:color w:val="000000"/>
          <w:sz w:val="24"/>
          <w:szCs w:val="24"/>
          <w:rtl/>
        </w:rPr>
        <w:t>. בטעם המחלוקת האם מקדשים בה, נחלקו אחרונים: יש שפירשו שהסוברים שאין מקדשים בה סוברים שחוששים שמא תפלוט מים שלא נתמלאו לשם מי חטאת, והרי זה כנתערבו בה מים פסולים</w:t>
      </w:r>
      <w:r>
        <w:rPr>
          <w:rFonts w:ascii="David" w:hAnsi="David" w:cs="David"/>
          <w:color w:val="0000FF"/>
          <w:sz w:val="24"/>
          <w:szCs w:val="24"/>
          <w:vertAlign w:val="superscript"/>
          <w:rtl/>
        </w:rPr>
        <w:footnoteReference w:customMarkFollows="1" w:id="793"/>
        <w:t>793</w:t>
      </w:r>
      <w:r>
        <w:rPr>
          <w:rFonts w:ascii="David" w:hAnsi="David" w:cs="David"/>
          <w:color w:val="000000"/>
          <w:sz w:val="24"/>
          <w:szCs w:val="24"/>
          <w:rtl/>
        </w:rPr>
        <w:t>, והסוברים שמקדשים בה סוברים שאין חוששים לכך, לפי שדעתו בשעת הטבילה שהמים שישארו בלועים בתוך הקרויה לאחר שניגבה, יהיו שאובים לקידוש</w:t>
      </w:r>
      <w:r>
        <w:rPr>
          <w:rFonts w:ascii="David" w:hAnsi="David" w:cs="David"/>
          <w:color w:val="0000FF"/>
          <w:sz w:val="24"/>
          <w:szCs w:val="24"/>
          <w:vertAlign w:val="superscript"/>
          <w:rtl/>
        </w:rPr>
        <w:footnoteReference w:customMarkFollows="1" w:id="794"/>
        <w:t>794</w:t>
      </w:r>
      <w:r>
        <w:rPr>
          <w:rFonts w:ascii="David" w:hAnsi="David" w:cs="David"/>
          <w:color w:val="000000"/>
          <w:sz w:val="24"/>
          <w:szCs w:val="24"/>
          <w:rtl/>
        </w:rPr>
        <w:t>. ויש שפירשו שהסוברים שאין מקדשים בה סוברים שיש לחוש שמא תפלוט הקרויה מהמים הבלועים בתוכה לאחר הקידוש, כשם שמחשש זה אמרו שאין ליתן לתוכה מים מקודשים</w:t>
      </w:r>
      <w:r>
        <w:rPr>
          <w:rFonts w:ascii="David" w:hAnsi="David" w:cs="David"/>
          <w:color w:val="0000FF"/>
          <w:sz w:val="24"/>
          <w:szCs w:val="24"/>
          <w:vertAlign w:val="superscript"/>
          <w:rtl/>
        </w:rPr>
        <w:footnoteReference w:customMarkFollows="1" w:id="795"/>
        <w:t>795</w:t>
      </w:r>
      <w:r>
        <w:rPr>
          <w:rFonts w:ascii="David" w:hAnsi="David" w:cs="David"/>
          <w:color w:val="000000"/>
          <w:sz w:val="24"/>
          <w:szCs w:val="24"/>
          <w:rtl/>
        </w:rPr>
        <w:t>, והסוברים שמקדשים בה, סוברים שאין לחוש לכך, שלא חששו לכך אלא בנותן לתוכה מים מקודשים, שהאוסף מים מקודשים, עשוי הוא להשהות אותם בכלי זמן מרובה</w:t>
      </w:r>
      <w:r>
        <w:rPr>
          <w:rFonts w:ascii="David" w:hAnsi="David" w:cs="David"/>
          <w:color w:val="0000FF"/>
          <w:sz w:val="24"/>
          <w:szCs w:val="24"/>
          <w:vertAlign w:val="superscript"/>
          <w:rtl/>
        </w:rPr>
        <w:footnoteReference w:customMarkFollows="1" w:id="796"/>
        <w:t>796</w:t>
      </w:r>
      <w:r>
        <w:rPr>
          <w:rFonts w:ascii="David" w:hAnsi="David" w:cs="David"/>
          <w:color w:val="000000"/>
          <w:sz w:val="24"/>
          <w:szCs w:val="24"/>
          <w:rtl/>
        </w:rPr>
        <w:t>, ובודאי תפלוט הקרויה מה שבלוע בה, אבל כשמקדש בה, עשוי הוא שלא לשהותם בתוכה - לפי שדרכם היתה לקדש בכלי גדול, ואחר כך לחלק לכמה כלים</w:t>
      </w:r>
      <w:r>
        <w:rPr>
          <w:rFonts w:ascii="David" w:hAnsi="David" w:cs="David"/>
          <w:color w:val="0000FF"/>
          <w:sz w:val="24"/>
          <w:szCs w:val="24"/>
          <w:vertAlign w:val="superscript"/>
          <w:rtl/>
        </w:rPr>
        <w:footnoteReference w:customMarkFollows="1" w:id="797"/>
        <w:t>797</w:t>
      </w:r>
      <w:r>
        <w:rPr>
          <w:rFonts w:ascii="David" w:hAnsi="David" w:cs="David"/>
          <w:color w:val="000000"/>
          <w:sz w:val="24"/>
          <w:szCs w:val="24"/>
          <w:rtl/>
        </w:rPr>
        <w:t xml:space="preserve"> - ולפיכך לא חששו שתפלוט המים שבתוכה</w:t>
      </w:r>
      <w:r>
        <w:rPr>
          <w:rFonts w:ascii="David" w:hAnsi="David" w:cs="David"/>
          <w:color w:val="0000FF"/>
          <w:sz w:val="24"/>
          <w:szCs w:val="24"/>
          <w:vertAlign w:val="superscript"/>
          <w:rtl/>
        </w:rPr>
        <w:footnoteReference w:customMarkFollows="1" w:id="798"/>
        <w:t>798</w:t>
      </w:r>
      <w:r>
        <w:rPr>
          <w:rFonts w:ascii="David" w:hAnsi="David" w:cs="David"/>
          <w:color w:val="000000"/>
          <w:sz w:val="24"/>
          <w:szCs w:val="24"/>
          <w:rtl/>
        </w:rPr>
        <w:t xml:space="preserve"> - אחר הקידוש</w:t>
      </w:r>
      <w:r>
        <w:rPr>
          <w:rFonts w:ascii="David" w:hAnsi="David" w:cs="David"/>
          <w:color w:val="0000FF"/>
          <w:sz w:val="24"/>
          <w:szCs w:val="24"/>
          <w:vertAlign w:val="superscript"/>
          <w:rtl/>
        </w:rPr>
        <w:footnoteReference w:customMarkFollows="1" w:id="799"/>
        <w:t>799</w:t>
      </w:r>
      <w:r>
        <w:rPr>
          <w:rFonts w:ascii="David" w:hAnsi="David" w:cs="David"/>
          <w:color w:val="000000"/>
          <w:sz w:val="24"/>
          <w:szCs w:val="24"/>
          <w:rtl/>
        </w:rPr>
        <w:t xml:space="preserve"> - או שאף אם תפלוט הקרויה מהמים הבלועים בתוכה, כיון שהיו בלועים בתוכה בשעת קידוש, אף הם מתקדשים</w:t>
      </w:r>
      <w:r>
        <w:rPr>
          <w:rFonts w:ascii="David" w:hAnsi="David" w:cs="David"/>
          <w:color w:val="0000FF"/>
          <w:sz w:val="24"/>
          <w:szCs w:val="24"/>
          <w:vertAlign w:val="superscript"/>
          <w:rtl/>
        </w:rPr>
        <w:footnoteReference w:customMarkFollows="1" w:id="800"/>
        <w:t>800</w:t>
      </w:r>
      <w:r>
        <w:rPr>
          <w:rFonts w:ascii="David" w:hAnsi="David" w:cs="David"/>
          <w:color w:val="000000"/>
          <w:sz w:val="24"/>
          <w:szCs w:val="24"/>
          <w:rtl/>
        </w:rPr>
        <w:t>, על הסוברים שמים בלועים אינם מתקדשים, עי' לעיל: הקידוש</w:t>
      </w:r>
      <w:r>
        <w:rPr>
          <w:rFonts w:ascii="David" w:hAnsi="David" w:cs="David"/>
          <w:color w:val="0000FF"/>
          <w:sz w:val="24"/>
          <w:szCs w:val="24"/>
          <w:vertAlign w:val="superscript"/>
          <w:rtl/>
        </w:rPr>
        <w:footnoteReference w:customMarkFollows="1" w:id="801"/>
        <w:t>801</w:t>
      </w:r>
      <w:r>
        <w:rPr>
          <w:rFonts w:ascii="David" w:hAnsi="David" w:cs="David"/>
          <w:color w:val="000000"/>
          <w:sz w:val="24"/>
          <w:szCs w:val="24"/>
          <w:rtl/>
        </w:rPr>
        <w:t xml:space="preserve">. </w:t>
      </w:r>
    </w:p>
    <w:p w14:paraId="74B634A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[מילוי מים המקודשים]</w:t>
      </w:r>
    </w:p>
    <w:p w14:paraId="0D0FF50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קרויה שהטבילוה, אין אוספים לתוכה מים </w:t>
      </w:r>
    </w:p>
    <w:p w14:paraId="3837736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המקודשים כבר</w:t>
      </w:r>
      <w:r>
        <w:rPr>
          <w:rFonts w:ascii="David" w:hAnsi="David" w:cs="David"/>
          <w:color w:val="0000FF"/>
          <w:sz w:val="24"/>
          <w:szCs w:val="24"/>
          <w:vertAlign w:val="superscript"/>
          <w:rtl/>
        </w:rPr>
        <w:footnoteReference w:customMarkFollows="1" w:id="802"/>
        <w:t>802</w:t>
      </w:r>
      <w:r>
        <w:rPr>
          <w:rFonts w:ascii="David" w:hAnsi="David" w:cs="David"/>
          <w:color w:val="000000"/>
          <w:sz w:val="24"/>
          <w:szCs w:val="24"/>
          <w:rtl/>
        </w:rPr>
        <w:t>, ואפילו הטבילוה במים הראויים לקידוש</w:t>
      </w:r>
      <w:r>
        <w:rPr>
          <w:rFonts w:ascii="David" w:hAnsi="David" w:cs="David"/>
          <w:color w:val="0000FF"/>
          <w:sz w:val="24"/>
          <w:szCs w:val="24"/>
          <w:vertAlign w:val="superscript"/>
          <w:rtl/>
        </w:rPr>
        <w:footnoteReference w:customMarkFollows="1" w:id="803"/>
        <w:t>803</w:t>
      </w:r>
      <w:r>
        <w:rPr>
          <w:rFonts w:ascii="David" w:hAnsi="David" w:cs="David"/>
          <w:color w:val="000000"/>
          <w:sz w:val="24"/>
          <w:szCs w:val="24"/>
          <w:rtl/>
        </w:rPr>
        <w:t>, ואף לסוברים שמקדשים בה</w:t>
      </w:r>
      <w:r>
        <w:rPr>
          <w:rFonts w:ascii="David" w:hAnsi="David" w:cs="David"/>
          <w:color w:val="0000FF"/>
          <w:sz w:val="24"/>
          <w:szCs w:val="24"/>
          <w:vertAlign w:val="superscript"/>
          <w:rtl/>
        </w:rPr>
        <w:footnoteReference w:customMarkFollows="1" w:id="804"/>
        <w:t>804</w:t>
      </w:r>
      <w:r>
        <w:rPr>
          <w:rFonts w:ascii="David" w:hAnsi="David" w:cs="David"/>
          <w:color w:val="000000"/>
          <w:sz w:val="24"/>
          <w:szCs w:val="24"/>
          <w:rtl/>
        </w:rPr>
        <w:t>, כדי שלא יתערבו המים הנפלטים מן הקרויה במים המקודשים, שהרי מים המקודשים נפסלים מחמת מים שאינם מקודשים שנתערבו בהם</w:t>
      </w:r>
      <w:r>
        <w:rPr>
          <w:rFonts w:ascii="David" w:hAnsi="David" w:cs="David"/>
          <w:color w:val="0000FF"/>
          <w:sz w:val="24"/>
          <w:szCs w:val="24"/>
          <w:vertAlign w:val="superscript"/>
          <w:rtl/>
        </w:rPr>
        <w:footnoteReference w:customMarkFollows="1" w:id="805"/>
        <w:t>805</w:t>
      </w:r>
      <w:r>
        <w:rPr>
          <w:rFonts w:ascii="David" w:hAnsi="David" w:cs="David"/>
          <w:color w:val="000000"/>
          <w:sz w:val="24"/>
          <w:szCs w:val="24"/>
          <w:rtl/>
        </w:rPr>
        <w:t>. ויש מן הראשונים סוברים, שלא אמרו שאין אוספים לתוכה מים המקודשים, אלא כשהטבילוה במים שאין ראויים לקידוש, ולסוברים שאין מקדשים בה</w:t>
      </w:r>
      <w:r>
        <w:rPr>
          <w:rFonts w:ascii="David" w:hAnsi="David" w:cs="David"/>
          <w:color w:val="0000FF"/>
          <w:sz w:val="24"/>
          <w:szCs w:val="24"/>
          <w:vertAlign w:val="superscript"/>
          <w:rtl/>
        </w:rPr>
        <w:footnoteReference w:customMarkFollows="1" w:id="806"/>
        <w:t>806</w:t>
      </w:r>
      <w:r>
        <w:rPr>
          <w:rFonts w:ascii="David" w:hAnsi="David" w:cs="David"/>
          <w:color w:val="000000"/>
          <w:sz w:val="24"/>
          <w:szCs w:val="24"/>
          <w:rtl/>
        </w:rPr>
        <w:t>, אבל לסוברים שמקדשים בה, אף ממלאים בה מים מקודשים</w:t>
      </w:r>
      <w:r>
        <w:rPr>
          <w:rFonts w:ascii="David" w:hAnsi="David" w:cs="David"/>
          <w:color w:val="0000FF"/>
          <w:sz w:val="24"/>
          <w:szCs w:val="24"/>
          <w:vertAlign w:val="superscript"/>
          <w:rtl/>
        </w:rPr>
        <w:footnoteReference w:customMarkFollows="1" w:id="807"/>
        <w:t>807</w:t>
      </w:r>
      <w:r>
        <w:rPr>
          <w:rFonts w:ascii="David" w:hAnsi="David" w:cs="David"/>
          <w:color w:val="000000"/>
          <w:sz w:val="24"/>
          <w:szCs w:val="24"/>
          <w:rtl/>
        </w:rPr>
        <w:t xml:space="preserve">. </w:t>
      </w:r>
    </w:p>
    <w:p w14:paraId="4252B47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[תערובת דבר אחר במים]</w:t>
      </w:r>
    </w:p>
    <w:p w14:paraId="79E2441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הטל* פוסל מי חטאת שירד לתוכם</w:t>
      </w:r>
      <w:r>
        <w:rPr>
          <w:rFonts w:ascii="David" w:hAnsi="David" w:cs="David"/>
          <w:color w:val="0000FF"/>
          <w:sz w:val="24"/>
          <w:szCs w:val="24"/>
          <w:vertAlign w:val="superscript"/>
          <w:rtl/>
        </w:rPr>
        <w:footnoteReference w:customMarkFollows="1" w:id="808"/>
        <w:t>808</w:t>
      </w:r>
      <w:r>
        <w:rPr>
          <w:rFonts w:ascii="David" w:hAnsi="David" w:cs="David"/>
          <w:color w:val="000000"/>
          <w:sz w:val="24"/>
          <w:szCs w:val="24"/>
          <w:rtl/>
        </w:rPr>
        <w:t xml:space="preserve"> - על מחלוקת התנאים אם יש תקנה להכשיר את המים, בהוצאת הטל מתוכם, ע"ע טל</w:t>
      </w:r>
      <w:r>
        <w:rPr>
          <w:rFonts w:ascii="David" w:hAnsi="David" w:cs="David"/>
          <w:color w:val="0000FF"/>
          <w:sz w:val="24"/>
          <w:szCs w:val="24"/>
          <w:vertAlign w:val="superscript"/>
          <w:rtl/>
        </w:rPr>
        <w:footnoteReference w:customMarkFollows="1" w:id="809"/>
        <w:t>809</w:t>
      </w:r>
      <w:r>
        <w:rPr>
          <w:rFonts w:ascii="David" w:hAnsi="David" w:cs="David"/>
          <w:color w:val="000000"/>
          <w:sz w:val="24"/>
          <w:szCs w:val="24"/>
          <w:rtl/>
        </w:rPr>
        <w:t xml:space="preserve"> - ואף צלוחית של מי חטאת שהניחה מגולה תחת אויר השמים בתחלת הלילה, שאז יורד הטל, פסולה, שבודאי נפל הטל לשם</w:t>
      </w:r>
      <w:r>
        <w:rPr>
          <w:rFonts w:ascii="David" w:hAnsi="David" w:cs="David"/>
          <w:color w:val="0000FF"/>
          <w:sz w:val="24"/>
          <w:szCs w:val="24"/>
          <w:vertAlign w:val="superscript"/>
          <w:rtl/>
        </w:rPr>
        <w:footnoteReference w:customMarkFollows="1" w:id="810"/>
        <w:t>810</w:t>
      </w:r>
      <w:r>
        <w:rPr>
          <w:rFonts w:ascii="David" w:hAnsi="David" w:cs="David"/>
          <w:color w:val="000000"/>
          <w:sz w:val="24"/>
          <w:szCs w:val="24"/>
          <w:rtl/>
        </w:rPr>
        <w:t>. וכן אם נפל לתוכם משקים או מי פירות או דיו או קומוס או קנקנתום, נפסלו המים - אף על פי שלא השתנה מראה המים מחמתם</w:t>
      </w:r>
      <w:r>
        <w:rPr>
          <w:rFonts w:ascii="David" w:hAnsi="David" w:cs="David"/>
          <w:color w:val="0000FF"/>
          <w:sz w:val="24"/>
          <w:szCs w:val="24"/>
          <w:vertAlign w:val="superscript"/>
          <w:rtl/>
        </w:rPr>
        <w:footnoteReference w:customMarkFollows="1" w:id="811"/>
        <w:t>811</w:t>
      </w:r>
      <w:r>
        <w:rPr>
          <w:rFonts w:ascii="David" w:hAnsi="David" w:cs="David"/>
          <w:color w:val="000000"/>
          <w:sz w:val="24"/>
          <w:szCs w:val="24"/>
          <w:rtl/>
        </w:rPr>
        <w:t xml:space="preserve"> - וצריך לערות המים</w:t>
      </w:r>
      <w:r>
        <w:rPr>
          <w:rFonts w:ascii="David" w:hAnsi="David" w:cs="David"/>
          <w:color w:val="0000FF"/>
          <w:sz w:val="24"/>
          <w:szCs w:val="24"/>
          <w:vertAlign w:val="superscript"/>
          <w:rtl/>
        </w:rPr>
        <w:footnoteReference w:customMarkFollows="1" w:id="812"/>
        <w:t>812</w:t>
      </w:r>
      <w:r>
        <w:rPr>
          <w:rFonts w:ascii="David" w:hAnsi="David" w:cs="David"/>
          <w:color w:val="000000"/>
          <w:sz w:val="24"/>
          <w:szCs w:val="24"/>
          <w:rtl/>
        </w:rPr>
        <w:t>. נפל לתוכם סטיס או קוץ או פיאה, אינו פוסל אלא כשנשתנה מראיהם, מדין שינוי מראה, ועל כך, עי' להלן</w:t>
      </w:r>
      <w:r>
        <w:rPr>
          <w:rFonts w:ascii="David" w:hAnsi="David" w:cs="David"/>
          <w:color w:val="0000FF"/>
          <w:sz w:val="24"/>
          <w:szCs w:val="24"/>
          <w:vertAlign w:val="superscript"/>
          <w:rtl/>
        </w:rPr>
        <w:footnoteReference w:customMarkFollows="1" w:id="813"/>
        <w:t>813</w:t>
      </w:r>
      <w:r>
        <w:rPr>
          <w:rFonts w:ascii="David" w:hAnsi="David" w:cs="David"/>
          <w:color w:val="000000"/>
          <w:sz w:val="24"/>
          <w:szCs w:val="24"/>
          <w:rtl/>
        </w:rPr>
        <w:t xml:space="preserve">. </w:t>
      </w:r>
    </w:p>
    <w:p w14:paraId="785A56A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[שינוי מראה]</w:t>
      </w:r>
    </w:p>
    <w:p w14:paraId="3CBA548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נפל לתוך המים סטיס או קוץ או פיאה, אם נשתנה מראיהם פסול</w:t>
      </w:r>
      <w:r>
        <w:rPr>
          <w:rFonts w:ascii="David" w:hAnsi="David" w:cs="David"/>
          <w:color w:val="0000FF"/>
          <w:sz w:val="24"/>
          <w:szCs w:val="24"/>
          <w:vertAlign w:val="superscript"/>
          <w:rtl/>
        </w:rPr>
        <w:footnoteReference w:customMarkFollows="1" w:id="814"/>
        <w:t>814</w:t>
      </w:r>
      <w:r>
        <w:rPr>
          <w:rFonts w:ascii="David" w:hAnsi="David" w:cs="David"/>
          <w:color w:val="000000"/>
          <w:sz w:val="24"/>
          <w:szCs w:val="24"/>
          <w:rtl/>
        </w:rPr>
        <w:t>, וכן אם נשתנה מראה המים מחמת עשן, אבל אם נשתנה מראה המים מחמת עצמם, כשרים</w:t>
      </w:r>
      <w:r>
        <w:rPr>
          <w:rFonts w:ascii="David" w:hAnsi="David" w:cs="David"/>
          <w:color w:val="0000FF"/>
          <w:sz w:val="24"/>
          <w:szCs w:val="24"/>
          <w:vertAlign w:val="superscript"/>
          <w:rtl/>
        </w:rPr>
        <w:footnoteReference w:customMarkFollows="1" w:id="815"/>
        <w:t>815</w:t>
      </w:r>
      <w:r>
        <w:rPr>
          <w:rFonts w:ascii="David" w:hAnsi="David" w:cs="David"/>
          <w:color w:val="000000"/>
          <w:sz w:val="24"/>
          <w:szCs w:val="24"/>
          <w:rtl/>
        </w:rPr>
        <w:t>. נפל לתוך הבאר ששואב ממנה חרסית או אדמה - והמים נעכרים מחמתם, ואם ממתינים זמן מה, הלכלוך שוקע, והמים מזדככים</w:t>
      </w:r>
      <w:r>
        <w:rPr>
          <w:rFonts w:ascii="David" w:hAnsi="David" w:cs="David"/>
          <w:color w:val="0000FF"/>
          <w:sz w:val="24"/>
          <w:szCs w:val="24"/>
          <w:vertAlign w:val="superscript"/>
          <w:rtl/>
        </w:rPr>
        <w:footnoteReference w:customMarkFollows="1" w:id="816"/>
        <w:t>816</w:t>
      </w:r>
      <w:r>
        <w:rPr>
          <w:rFonts w:ascii="David" w:hAnsi="David" w:cs="David"/>
          <w:color w:val="000000"/>
          <w:sz w:val="24"/>
          <w:szCs w:val="24"/>
          <w:rtl/>
        </w:rPr>
        <w:t xml:space="preserve"> - לדעת ר' ישמעאל צריך להמתין עד שיצולו המים</w:t>
      </w:r>
      <w:r>
        <w:rPr>
          <w:rFonts w:ascii="David" w:hAnsi="David" w:cs="David"/>
          <w:color w:val="0000FF"/>
          <w:sz w:val="24"/>
          <w:szCs w:val="24"/>
          <w:vertAlign w:val="superscript"/>
          <w:rtl/>
        </w:rPr>
        <w:footnoteReference w:customMarkFollows="1" w:id="817"/>
        <w:t>817</w:t>
      </w:r>
      <w:r>
        <w:rPr>
          <w:rFonts w:ascii="David" w:hAnsi="David" w:cs="David"/>
          <w:color w:val="000000"/>
          <w:sz w:val="24"/>
          <w:szCs w:val="24"/>
          <w:rtl/>
        </w:rPr>
        <w:t>, ולדעת ר' עקיבא אין צריך להמתין</w:t>
      </w:r>
      <w:r>
        <w:rPr>
          <w:rFonts w:ascii="David" w:hAnsi="David" w:cs="David"/>
          <w:color w:val="0000FF"/>
          <w:sz w:val="24"/>
          <w:szCs w:val="24"/>
          <w:vertAlign w:val="superscript"/>
          <w:rtl/>
        </w:rPr>
        <w:footnoteReference w:customMarkFollows="1" w:id="818"/>
        <w:t>818</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819"/>
        <w:t>819</w:t>
      </w:r>
      <w:r>
        <w:rPr>
          <w:rFonts w:ascii="David" w:hAnsi="David" w:cs="David"/>
          <w:color w:val="000000"/>
          <w:sz w:val="24"/>
          <w:szCs w:val="24"/>
          <w:rtl/>
        </w:rPr>
        <w:t>, אבל אם השתנה מראה המים מחמת מים שנתערבו בהם צריך להמתין עד שיצולו</w:t>
      </w:r>
      <w:r>
        <w:rPr>
          <w:rFonts w:ascii="David" w:hAnsi="David" w:cs="David"/>
          <w:color w:val="0000FF"/>
          <w:sz w:val="24"/>
          <w:szCs w:val="24"/>
          <w:vertAlign w:val="superscript"/>
          <w:rtl/>
        </w:rPr>
        <w:footnoteReference w:customMarkFollows="1" w:id="820"/>
        <w:t>820</w:t>
      </w:r>
      <w:r>
        <w:rPr>
          <w:rFonts w:ascii="David" w:hAnsi="David" w:cs="David"/>
          <w:color w:val="000000"/>
          <w:sz w:val="24"/>
          <w:szCs w:val="24"/>
          <w:rtl/>
        </w:rPr>
        <w:t>, שמים במים מתערבים יותר</w:t>
      </w:r>
      <w:r>
        <w:rPr>
          <w:rFonts w:ascii="David" w:hAnsi="David" w:cs="David"/>
          <w:color w:val="0000FF"/>
          <w:sz w:val="24"/>
          <w:szCs w:val="24"/>
          <w:vertAlign w:val="superscript"/>
          <w:rtl/>
        </w:rPr>
        <w:footnoteReference w:customMarkFollows="1" w:id="821"/>
        <w:t>821</w:t>
      </w:r>
      <w:r>
        <w:rPr>
          <w:rFonts w:ascii="David" w:hAnsi="David" w:cs="David"/>
          <w:color w:val="000000"/>
          <w:sz w:val="24"/>
          <w:szCs w:val="24"/>
          <w:rtl/>
        </w:rPr>
        <w:t>, או שדוקא בנשתנה מחמת עפר אין צריך להמתין, שכיון שבמעיין יש עפר בתחתיתו, חשוב כנשתנה מחמת עצמו</w:t>
      </w:r>
      <w:r>
        <w:rPr>
          <w:rFonts w:ascii="David" w:hAnsi="David" w:cs="David"/>
          <w:color w:val="0000FF"/>
          <w:sz w:val="24"/>
          <w:szCs w:val="24"/>
          <w:vertAlign w:val="superscript"/>
          <w:rtl/>
        </w:rPr>
        <w:footnoteReference w:customMarkFollows="1" w:id="822"/>
        <w:t>822</w:t>
      </w:r>
      <w:r>
        <w:rPr>
          <w:rFonts w:ascii="David" w:hAnsi="David" w:cs="David"/>
          <w:color w:val="000000"/>
          <w:sz w:val="24"/>
          <w:szCs w:val="24"/>
          <w:rtl/>
        </w:rPr>
        <w:t>, ומכל מקום כל שחזר מראיהם כמו שהיו בתחילה, חוזרים להכשרם</w:t>
      </w:r>
      <w:r>
        <w:rPr>
          <w:rFonts w:ascii="David" w:hAnsi="David" w:cs="David"/>
          <w:color w:val="0000FF"/>
          <w:sz w:val="24"/>
          <w:szCs w:val="24"/>
          <w:vertAlign w:val="superscript"/>
          <w:rtl/>
        </w:rPr>
        <w:footnoteReference w:customMarkFollows="1" w:id="823"/>
        <w:t>823</w:t>
      </w:r>
      <w:r>
        <w:rPr>
          <w:rFonts w:ascii="David" w:hAnsi="David" w:cs="David"/>
          <w:color w:val="000000"/>
          <w:sz w:val="24"/>
          <w:szCs w:val="24"/>
          <w:rtl/>
        </w:rPr>
        <w:t>, ויש מן האחרונים שכתבו שכל שסופו לחזור אינו חשוב שינוי מראה</w:t>
      </w:r>
      <w:r>
        <w:rPr>
          <w:rFonts w:ascii="David" w:hAnsi="David" w:cs="David"/>
          <w:color w:val="0000FF"/>
          <w:sz w:val="24"/>
          <w:szCs w:val="24"/>
          <w:vertAlign w:val="superscript"/>
          <w:rtl/>
        </w:rPr>
        <w:footnoteReference w:customMarkFollows="1" w:id="824"/>
        <w:t>824</w:t>
      </w:r>
      <w:r>
        <w:rPr>
          <w:rFonts w:ascii="David" w:hAnsi="David" w:cs="David"/>
          <w:color w:val="000000"/>
          <w:sz w:val="24"/>
          <w:szCs w:val="24"/>
          <w:rtl/>
        </w:rPr>
        <w:t xml:space="preserve">. על טעם פסול מים שנשתנה מראיהם, ע"ע מים חיים. </w:t>
      </w:r>
    </w:p>
    <w:p w14:paraId="53488FA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[נפלו לתוכם שקצים]</w:t>
      </w:r>
    </w:p>
    <w:p w14:paraId="21BB319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המקודשים שנפלו לתוכם שקצים ורמשים ונתבקעו, פסולים</w:t>
      </w:r>
      <w:r>
        <w:rPr>
          <w:rFonts w:ascii="David" w:hAnsi="David" w:cs="David"/>
          <w:color w:val="0000FF"/>
          <w:sz w:val="24"/>
          <w:szCs w:val="24"/>
          <w:vertAlign w:val="superscript"/>
          <w:rtl/>
        </w:rPr>
        <w:footnoteReference w:customMarkFollows="1" w:id="825"/>
        <w:t>825</w:t>
      </w:r>
      <w:r>
        <w:rPr>
          <w:rFonts w:ascii="David" w:hAnsi="David" w:cs="David"/>
          <w:color w:val="000000"/>
          <w:sz w:val="24"/>
          <w:szCs w:val="24"/>
          <w:rtl/>
        </w:rPr>
        <w:t xml:space="preserve">, אפילו היו </w:t>
      </w:r>
    </w:p>
    <w:p w14:paraId="256A2B6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יבשים ביותר, כגון הנמלה</w:t>
      </w:r>
      <w:r>
        <w:rPr>
          <w:rFonts w:ascii="David" w:hAnsi="David" w:cs="David"/>
          <w:color w:val="0000FF"/>
          <w:sz w:val="24"/>
          <w:szCs w:val="24"/>
          <w:vertAlign w:val="superscript"/>
          <w:rtl/>
        </w:rPr>
        <w:footnoteReference w:customMarkFollows="1" w:id="826"/>
        <w:t>826</w:t>
      </w:r>
      <w:r>
        <w:rPr>
          <w:rFonts w:ascii="David" w:hAnsi="David" w:cs="David"/>
          <w:color w:val="000000"/>
          <w:sz w:val="24"/>
          <w:szCs w:val="24"/>
          <w:rtl/>
        </w:rPr>
        <w:t>, לפי שהליחה של השקצים יוצאת על ידי בקיעתם, ומתערבת במים</w:t>
      </w:r>
      <w:r>
        <w:rPr>
          <w:rFonts w:ascii="David" w:hAnsi="David" w:cs="David"/>
          <w:color w:val="0000FF"/>
          <w:sz w:val="24"/>
          <w:szCs w:val="24"/>
          <w:vertAlign w:val="superscript"/>
          <w:rtl/>
        </w:rPr>
        <w:footnoteReference w:customMarkFollows="1" w:id="827"/>
        <w:t>827</w:t>
      </w:r>
      <w:r>
        <w:rPr>
          <w:rFonts w:ascii="David" w:hAnsi="David" w:cs="David"/>
          <w:color w:val="000000"/>
          <w:sz w:val="24"/>
          <w:szCs w:val="24"/>
          <w:rtl/>
        </w:rPr>
        <w:t>, והוא הדין כשנפלו למים שנתמלאו לחטאת, שאף הם נפסלים בתערובת המשקים הפסולים</w:t>
      </w:r>
      <w:r>
        <w:rPr>
          <w:rFonts w:ascii="David" w:hAnsi="David" w:cs="David"/>
          <w:color w:val="0000FF"/>
          <w:sz w:val="24"/>
          <w:szCs w:val="24"/>
          <w:vertAlign w:val="superscript"/>
          <w:rtl/>
        </w:rPr>
        <w:footnoteReference w:customMarkFollows="1" w:id="828"/>
        <w:t>828</w:t>
      </w:r>
      <w:r>
        <w:rPr>
          <w:rFonts w:ascii="David" w:hAnsi="David" w:cs="David"/>
          <w:color w:val="000000"/>
          <w:sz w:val="24"/>
          <w:szCs w:val="24"/>
          <w:rtl/>
        </w:rPr>
        <w:t>. וכן אם נשתנה מראה המים מחמת השקצים, אף על פי שלא נתבקעו השקצים, פסולים</w:t>
      </w:r>
      <w:r>
        <w:rPr>
          <w:rFonts w:ascii="David" w:hAnsi="David" w:cs="David"/>
          <w:color w:val="0000FF"/>
          <w:sz w:val="24"/>
          <w:szCs w:val="24"/>
          <w:vertAlign w:val="superscript"/>
          <w:rtl/>
        </w:rPr>
        <w:footnoteReference w:customMarkFollows="1" w:id="829"/>
        <w:t>829</w:t>
      </w:r>
      <w:r>
        <w:rPr>
          <w:rFonts w:ascii="David" w:hAnsi="David" w:cs="David"/>
          <w:color w:val="000000"/>
          <w:sz w:val="24"/>
          <w:szCs w:val="24"/>
          <w:rtl/>
        </w:rPr>
        <w:t>, שהואיל ונשתנה מראיהם, על כרחך שליחת השקצים נפלטה דרך העור לתוך המים</w:t>
      </w:r>
      <w:r>
        <w:rPr>
          <w:rFonts w:ascii="David" w:hAnsi="David" w:cs="David"/>
          <w:color w:val="0000FF"/>
          <w:sz w:val="24"/>
          <w:szCs w:val="24"/>
          <w:vertAlign w:val="superscript"/>
          <w:rtl/>
        </w:rPr>
        <w:footnoteReference w:customMarkFollows="1" w:id="830"/>
        <w:t>830</w:t>
      </w:r>
      <w:r>
        <w:rPr>
          <w:rFonts w:ascii="David" w:hAnsi="David" w:cs="David"/>
          <w:color w:val="000000"/>
          <w:sz w:val="24"/>
          <w:szCs w:val="24"/>
          <w:rtl/>
        </w:rPr>
        <w:t>, או שכיון שנשתנה המראה, נפסלים המים בשינוי מראה</w:t>
      </w:r>
      <w:r>
        <w:rPr>
          <w:rFonts w:ascii="David" w:hAnsi="David" w:cs="David"/>
          <w:color w:val="0000FF"/>
          <w:sz w:val="24"/>
          <w:szCs w:val="24"/>
          <w:vertAlign w:val="superscript"/>
          <w:rtl/>
        </w:rPr>
        <w:footnoteReference w:customMarkFollows="1" w:id="831"/>
        <w:t>831</w:t>
      </w:r>
      <w:r>
        <w:rPr>
          <w:rFonts w:ascii="David" w:hAnsi="David" w:cs="David"/>
          <w:color w:val="000000"/>
          <w:sz w:val="24"/>
          <w:szCs w:val="24"/>
          <w:rtl/>
        </w:rPr>
        <w:t>. נפלה לתוכם חפושית - תולעת שחורה החלולה כקנה</w:t>
      </w:r>
      <w:r>
        <w:rPr>
          <w:rFonts w:ascii="David" w:hAnsi="David" w:cs="David"/>
          <w:color w:val="0000FF"/>
          <w:sz w:val="24"/>
          <w:szCs w:val="24"/>
          <w:vertAlign w:val="superscript"/>
          <w:rtl/>
        </w:rPr>
        <w:footnoteReference w:customMarkFollows="1" w:id="832"/>
        <w:t>832</w:t>
      </w:r>
      <w:r>
        <w:rPr>
          <w:rFonts w:ascii="David" w:hAnsi="David" w:cs="David"/>
          <w:color w:val="000000"/>
          <w:sz w:val="24"/>
          <w:szCs w:val="24"/>
          <w:rtl/>
        </w:rPr>
        <w:t xml:space="preserve"> - פוסלת את המים - אפילו לא נתבקעה ולא נשתנה מראה המים</w:t>
      </w:r>
      <w:r>
        <w:rPr>
          <w:rFonts w:ascii="David" w:hAnsi="David" w:cs="David"/>
          <w:color w:val="0000FF"/>
          <w:sz w:val="24"/>
          <w:szCs w:val="24"/>
          <w:vertAlign w:val="superscript"/>
          <w:rtl/>
        </w:rPr>
        <w:footnoteReference w:customMarkFollows="1" w:id="833"/>
        <w:t>833</w:t>
      </w:r>
      <w:r>
        <w:rPr>
          <w:rFonts w:ascii="David" w:hAnsi="David" w:cs="David"/>
          <w:color w:val="000000"/>
          <w:sz w:val="24"/>
          <w:szCs w:val="24"/>
          <w:rtl/>
        </w:rPr>
        <w:t xml:space="preserve"> - מפני שהיא כשפופרת</w:t>
      </w:r>
      <w:r>
        <w:rPr>
          <w:rFonts w:ascii="David" w:hAnsi="David" w:cs="David"/>
          <w:color w:val="0000FF"/>
          <w:sz w:val="24"/>
          <w:szCs w:val="24"/>
          <w:vertAlign w:val="superscript"/>
          <w:rtl/>
        </w:rPr>
        <w:footnoteReference w:customMarkFollows="1" w:id="834"/>
        <w:t>834</w:t>
      </w:r>
      <w:r>
        <w:rPr>
          <w:rFonts w:ascii="David" w:hAnsi="David" w:cs="David"/>
          <w:color w:val="000000"/>
          <w:sz w:val="24"/>
          <w:szCs w:val="24"/>
          <w:rtl/>
        </w:rPr>
        <w:t>, שפתוחה הרבה בפיה ובאחוריה</w:t>
      </w:r>
      <w:r>
        <w:rPr>
          <w:rFonts w:ascii="David" w:hAnsi="David" w:cs="David"/>
          <w:color w:val="0000FF"/>
          <w:sz w:val="24"/>
          <w:szCs w:val="24"/>
          <w:vertAlign w:val="superscript"/>
          <w:rtl/>
        </w:rPr>
        <w:footnoteReference w:customMarkFollows="1" w:id="835"/>
        <w:t>835</w:t>
      </w:r>
      <w:r>
        <w:rPr>
          <w:rFonts w:ascii="David" w:hAnsi="David" w:cs="David"/>
          <w:color w:val="000000"/>
          <w:sz w:val="24"/>
          <w:szCs w:val="24"/>
          <w:rtl/>
        </w:rPr>
        <w:t>, והמים נכנסים בתוכה ויוצאים מתוכה עם הליחה שבה</w:t>
      </w:r>
      <w:r>
        <w:rPr>
          <w:rFonts w:ascii="David" w:hAnsi="David" w:cs="David"/>
          <w:color w:val="0000FF"/>
          <w:sz w:val="24"/>
          <w:szCs w:val="24"/>
          <w:vertAlign w:val="superscript"/>
          <w:rtl/>
        </w:rPr>
        <w:footnoteReference w:customMarkFollows="1" w:id="836"/>
        <w:t>836</w:t>
      </w:r>
      <w:r>
        <w:rPr>
          <w:rFonts w:ascii="David" w:hAnsi="David" w:cs="David"/>
          <w:color w:val="000000"/>
          <w:sz w:val="24"/>
          <w:szCs w:val="24"/>
          <w:rtl/>
        </w:rPr>
        <w:t>. וכן אם נפל לתוכם חגב, מפני שהוא מוריר</w:t>
      </w:r>
      <w:r>
        <w:rPr>
          <w:rFonts w:ascii="David" w:hAnsi="David" w:cs="David"/>
          <w:color w:val="0000FF"/>
          <w:sz w:val="24"/>
          <w:szCs w:val="24"/>
          <w:vertAlign w:val="superscript"/>
          <w:rtl/>
        </w:rPr>
        <w:footnoteReference w:customMarkFollows="1" w:id="837"/>
        <w:t>837</w:t>
      </w:r>
      <w:r>
        <w:rPr>
          <w:rFonts w:ascii="David" w:hAnsi="David" w:cs="David"/>
          <w:color w:val="000000"/>
          <w:sz w:val="24"/>
          <w:szCs w:val="24"/>
          <w:rtl/>
        </w:rPr>
        <w:t>, דהיינו שיוצא ממנו ליחה</w:t>
      </w:r>
      <w:r>
        <w:rPr>
          <w:rFonts w:ascii="David" w:hAnsi="David" w:cs="David"/>
          <w:color w:val="0000FF"/>
          <w:sz w:val="24"/>
          <w:szCs w:val="24"/>
          <w:vertAlign w:val="superscript"/>
          <w:rtl/>
        </w:rPr>
        <w:footnoteReference w:customMarkFollows="1" w:id="838"/>
        <w:t>838</w:t>
      </w:r>
      <w:r>
        <w:rPr>
          <w:rFonts w:ascii="David" w:hAnsi="David" w:cs="David"/>
          <w:color w:val="000000"/>
          <w:sz w:val="24"/>
          <w:szCs w:val="24"/>
          <w:rtl/>
        </w:rPr>
        <w:t>, ובודאי הוציא ליחה לתוך המים, אף על פי שאין אנו רואים בהם ריעותא</w:t>
      </w:r>
      <w:r>
        <w:rPr>
          <w:rFonts w:ascii="David" w:hAnsi="David" w:cs="David"/>
          <w:color w:val="0000FF"/>
          <w:sz w:val="24"/>
          <w:szCs w:val="24"/>
          <w:vertAlign w:val="superscript"/>
          <w:rtl/>
        </w:rPr>
        <w:footnoteReference w:customMarkFollows="1" w:id="839"/>
        <w:t>839</w:t>
      </w:r>
      <w:r>
        <w:rPr>
          <w:rFonts w:ascii="David" w:hAnsi="David" w:cs="David"/>
          <w:color w:val="000000"/>
          <w:sz w:val="24"/>
          <w:szCs w:val="24"/>
          <w:rtl/>
        </w:rPr>
        <w:t>, ולדעת ר' יהודה, אף אם נפל לתוכם עכשוב או שיבאי או כבואי או דג או צפרדע - שהם מיני שרצים</w:t>
      </w:r>
      <w:r>
        <w:rPr>
          <w:rFonts w:ascii="David" w:hAnsi="David" w:cs="David"/>
          <w:color w:val="0000FF"/>
          <w:sz w:val="24"/>
          <w:szCs w:val="24"/>
          <w:vertAlign w:val="superscript"/>
          <w:rtl/>
        </w:rPr>
        <w:footnoteReference w:customMarkFollows="1" w:id="840"/>
        <w:t>840</w:t>
      </w:r>
      <w:r>
        <w:rPr>
          <w:rFonts w:ascii="David" w:hAnsi="David" w:cs="David"/>
          <w:color w:val="000000"/>
          <w:sz w:val="24"/>
          <w:szCs w:val="24"/>
          <w:rtl/>
        </w:rPr>
        <w:t xml:space="preserve"> - פסולים, מפני שהם מורירים, ואם נפל לתוכם פקעינה, אינם פסולים</w:t>
      </w:r>
      <w:r>
        <w:rPr>
          <w:rFonts w:ascii="David" w:hAnsi="David" w:cs="David"/>
          <w:color w:val="0000FF"/>
          <w:sz w:val="24"/>
          <w:szCs w:val="24"/>
          <w:vertAlign w:val="superscript"/>
          <w:rtl/>
        </w:rPr>
        <w:footnoteReference w:customMarkFollows="1" w:id="841"/>
        <w:t>841</w:t>
      </w:r>
      <w:r>
        <w:rPr>
          <w:rFonts w:ascii="David" w:hAnsi="David" w:cs="David"/>
          <w:color w:val="000000"/>
          <w:sz w:val="24"/>
          <w:szCs w:val="24"/>
          <w:rtl/>
        </w:rPr>
        <w:t>. הדירה</w:t>
      </w:r>
      <w:r>
        <w:rPr>
          <w:rFonts w:ascii="David" w:hAnsi="David" w:cs="David"/>
          <w:color w:val="0000FF"/>
          <w:sz w:val="24"/>
          <w:szCs w:val="24"/>
          <w:vertAlign w:val="superscript"/>
          <w:rtl/>
        </w:rPr>
        <w:footnoteReference w:customMarkFollows="1" w:id="842"/>
        <w:t>842</w:t>
      </w:r>
      <w:r>
        <w:rPr>
          <w:rFonts w:ascii="David" w:hAnsi="David" w:cs="David"/>
          <w:color w:val="000000"/>
          <w:sz w:val="24"/>
          <w:szCs w:val="24"/>
          <w:rtl/>
        </w:rPr>
        <w:t xml:space="preserve"> - תולעת שבחטים</w:t>
      </w:r>
      <w:r>
        <w:rPr>
          <w:rFonts w:ascii="David" w:hAnsi="David" w:cs="David"/>
          <w:color w:val="0000FF"/>
          <w:sz w:val="24"/>
          <w:szCs w:val="24"/>
          <w:vertAlign w:val="superscript"/>
          <w:rtl/>
        </w:rPr>
        <w:footnoteReference w:customMarkFollows="1" w:id="843"/>
        <w:t>843</w:t>
      </w:r>
      <w:r>
        <w:rPr>
          <w:rFonts w:ascii="David" w:hAnsi="David" w:cs="David"/>
          <w:color w:val="000000"/>
          <w:sz w:val="24"/>
          <w:szCs w:val="24"/>
          <w:rtl/>
        </w:rPr>
        <w:t xml:space="preserve"> - והכנה שבתבואה, שנפלו לתוך המים המקודשים, לדעת ר' שמעון ור' אליעזר בן יעקב לא פסלו את המים, מפני ששקצים אלו אין בהם ליחה</w:t>
      </w:r>
      <w:r>
        <w:rPr>
          <w:rFonts w:ascii="David" w:hAnsi="David" w:cs="David"/>
          <w:color w:val="0000FF"/>
          <w:sz w:val="24"/>
          <w:szCs w:val="24"/>
          <w:vertAlign w:val="superscript"/>
          <w:rtl/>
        </w:rPr>
        <w:footnoteReference w:customMarkFollows="1" w:id="844"/>
        <w:t>844</w:t>
      </w:r>
      <w:r>
        <w:rPr>
          <w:rFonts w:ascii="David" w:hAnsi="David" w:cs="David"/>
          <w:color w:val="000000"/>
          <w:sz w:val="24"/>
          <w:szCs w:val="24"/>
          <w:rtl/>
        </w:rPr>
        <w:t>, ואפילו נתבקעו</w:t>
      </w:r>
      <w:r>
        <w:rPr>
          <w:rFonts w:ascii="David" w:hAnsi="David" w:cs="David"/>
          <w:color w:val="0000FF"/>
          <w:sz w:val="24"/>
          <w:szCs w:val="24"/>
          <w:vertAlign w:val="superscript"/>
          <w:rtl/>
        </w:rPr>
        <w:footnoteReference w:customMarkFollows="1" w:id="845"/>
        <w:t>845</w:t>
      </w:r>
      <w:r>
        <w:rPr>
          <w:rFonts w:ascii="David" w:hAnsi="David" w:cs="David"/>
          <w:color w:val="000000"/>
          <w:sz w:val="24"/>
          <w:szCs w:val="24"/>
          <w:rtl/>
        </w:rPr>
        <w:t>, שאף על פי שאי אפשר לשום בעל חי שיחיה בלי ליחה, אין שיעורה אלא משהו בעלמא, והרי הוא כמי שאינו, אבל אם נשתנה מראה המים מחמתם, פסולים, שעל כרחך נימוח גופם במים</w:t>
      </w:r>
      <w:r>
        <w:rPr>
          <w:rFonts w:ascii="David" w:hAnsi="David" w:cs="David"/>
          <w:color w:val="0000FF"/>
          <w:sz w:val="24"/>
          <w:szCs w:val="24"/>
          <w:vertAlign w:val="superscript"/>
          <w:rtl/>
        </w:rPr>
        <w:footnoteReference w:customMarkFollows="1" w:id="846"/>
        <w:t>846</w:t>
      </w:r>
      <w:r>
        <w:rPr>
          <w:rFonts w:ascii="David" w:hAnsi="David" w:cs="David"/>
          <w:color w:val="000000"/>
          <w:sz w:val="24"/>
          <w:szCs w:val="24"/>
          <w:rtl/>
        </w:rPr>
        <w:t>, ולדעת חכמים, שקצים אלו פוסלים את המים משנתבקעו</w:t>
      </w:r>
      <w:r>
        <w:rPr>
          <w:rFonts w:ascii="David" w:hAnsi="David" w:cs="David"/>
          <w:color w:val="0000FF"/>
          <w:sz w:val="24"/>
          <w:szCs w:val="24"/>
          <w:vertAlign w:val="superscript"/>
          <w:rtl/>
        </w:rPr>
        <w:footnoteReference w:customMarkFollows="1" w:id="847"/>
        <w:t>847</w:t>
      </w:r>
      <w:r>
        <w:rPr>
          <w:rFonts w:ascii="David" w:hAnsi="David" w:cs="David"/>
          <w:color w:val="000000"/>
          <w:sz w:val="24"/>
          <w:szCs w:val="24"/>
          <w:rtl/>
        </w:rPr>
        <w:t>, שכיון שהם מאוסים, אפילו משהו מהם פוסל את המים</w:t>
      </w:r>
      <w:r>
        <w:rPr>
          <w:rFonts w:ascii="David" w:hAnsi="David" w:cs="David"/>
          <w:color w:val="0000FF"/>
          <w:sz w:val="24"/>
          <w:szCs w:val="24"/>
          <w:vertAlign w:val="superscript"/>
          <w:rtl/>
        </w:rPr>
        <w:footnoteReference w:customMarkFollows="1" w:id="848"/>
        <w:t>848</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849"/>
        <w:t>849</w:t>
      </w:r>
      <w:r>
        <w:rPr>
          <w:rFonts w:ascii="David" w:hAnsi="David" w:cs="David"/>
          <w:color w:val="000000"/>
          <w:sz w:val="24"/>
          <w:szCs w:val="24"/>
          <w:rtl/>
        </w:rPr>
        <w:t xml:space="preserve">. </w:t>
      </w:r>
    </w:p>
    <w:p w14:paraId="750EBA3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[שתיית בעלי חיים]</w:t>
      </w:r>
    </w:p>
    <w:p w14:paraId="510AE6F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שתו בהמה או חיה או עוף מהמים, ששנינו שהם פסולים, חוץ מן היונה מפני שהיא מוצצת</w:t>
      </w:r>
      <w:r>
        <w:rPr>
          <w:rFonts w:ascii="David" w:hAnsi="David" w:cs="David"/>
          <w:color w:val="0000FF"/>
          <w:sz w:val="24"/>
          <w:szCs w:val="24"/>
          <w:vertAlign w:val="superscript"/>
          <w:rtl/>
        </w:rPr>
        <w:footnoteReference w:customMarkFollows="1" w:id="850"/>
        <w:t>850</w:t>
      </w:r>
      <w:r>
        <w:rPr>
          <w:rFonts w:ascii="David" w:hAnsi="David" w:cs="David"/>
          <w:color w:val="000000"/>
          <w:sz w:val="24"/>
          <w:szCs w:val="24"/>
          <w:rtl/>
        </w:rPr>
        <w:t>, וכן קרצית שבעמיר - זבוב גדול כמין חגב, הנמצא בין העמרים</w:t>
      </w:r>
      <w:r>
        <w:rPr>
          <w:rFonts w:ascii="David" w:hAnsi="David" w:cs="David"/>
          <w:color w:val="0000FF"/>
          <w:sz w:val="24"/>
          <w:szCs w:val="24"/>
          <w:vertAlign w:val="superscript"/>
          <w:rtl/>
        </w:rPr>
        <w:footnoteReference w:customMarkFollows="1" w:id="851"/>
        <w:t>851</w:t>
      </w:r>
      <w:r>
        <w:rPr>
          <w:rFonts w:ascii="David" w:hAnsi="David" w:cs="David"/>
          <w:color w:val="000000"/>
          <w:sz w:val="24"/>
          <w:szCs w:val="24"/>
          <w:rtl/>
        </w:rPr>
        <w:t xml:space="preserve"> - שאם הוא גדול כשיעור כזית, פוסל בשתייתו, ואם הוא קטן משיעור כזית, אינו פוסל</w:t>
      </w:r>
      <w:r>
        <w:rPr>
          <w:rFonts w:ascii="David" w:hAnsi="David" w:cs="David"/>
          <w:color w:val="0000FF"/>
          <w:sz w:val="24"/>
          <w:szCs w:val="24"/>
          <w:vertAlign w:val="superscript"/>
          <w:rtl/>
        </w:rPr>
        <w:footnoteReference w:customMarkFollows="1" w:id="852"/>
        <w:t>852</w:t>
      </w:r>
      <w:r>
        <w:rPr>
          <w:rFonts w:ascii="David" w:hAnsi="David" w:cs="David"/>
          <w:color w:val="000000"/>
          <w:sz w:val="24"/>
          <w:szCs w:val="24"/>
          <w:rtl/>
        </w:rPr>
        <w:t>, מפני שדרך שתייתו כיונה</w:t>
      </w:r>
      <w:r>
        <w:rPr>
          <w:rFonts w:ascii="David" w:hAnsi="David" w:cs="David"/>
          <w:color w:val="0000FF"/>
          <w:sz w:val="24"/>
          <w:szCs w:val="24"/>
          <w:vertAlign w:val="superscript"/>
          <w:rtl/>
        </w:rPr>
        <w:footnoteReference w:customMarkFollows="1" w:id="853"/>
        <w:t>853</w:t>
      </w:r>
      <w:r>
        <w:rPr>
          <w:rFonts w:ascii="David" w:hAnsi="David" w:cs="David"/>
          <w:color w:val="000000"/>
          <w:sz w:val="24"/>
          <w:szCs w:val="24"/>
          <w:rtl/>
        </w:rPr>
        <w:t xml:space="preserve">, אבל תסיל, אף על פי שהוא מין יונה, ואף הוא מוצץ, פוסל, משום שהוא </w:t>
      </w:r>
    </w:p>
    <w:p w14:paraId="2A4B458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מוצץ ומקיא</w:t>
      </w:r>
      <w:r>
        <w:rPr>
          <w:rFonts w:ascii="David" w:hAnsi="David" w:cs="David"/>
          <w:color w:val="0000FF"/>
          <w:sz w:val="24"/>
          <w:szCs w:val="24"/>
          <w:vertAlign w:val="superscript"/>
          <w:rtl/>
        </w:rPr>
        <w:footnoteReference w:customMarkFollows="1" w:id="854"/>
        <w:t>854</w:t>
      </w:r>
      <w:r>
        <w:rPr>
          <w:rFonts w:ascii="David" w:hAnsi="David" w:cs="David"/>
          <w:color w:val="000000"/>
          <w:sz w:val="24"/>
          <w:szCs w:val="24"/>
          <w:rtl/>
        </w:rPr>
        <w:t>, וכן כל השרצים ששתו שאינם פוסלים - מפני שהם מוצצים כיונה</w:t>
      </w:r>
      <w:r>
        <w:rPr>
          <w:rFonts w:ascii="David" w:hAnsi="David" w:cs="David"/>
          <w:color w:val="0000FF"/>
          <w:sz w:val="24"/>
          <w:szCs w:val="24"/>
          <w:vertAlign w:val="superscript"/>
          <w:rtl/>
        </w:rPr>
        <w:footnoteReference w:customMarkFollows="1" w:id="855"/>
        <w:t>855</w:t>
      </w:r>
      <w:r>
        <w:rPr>
          <w:rFonts w:ascii="David" w:hAnsi="David" w:cs="David"/>
          <w:color w:val="000000"/>
          <w:sz w:val="24"/>
          <w:szCs w:val="24"/>
          <w:rtl/>
        </w:rPr>
        <w:t xml:space="preserve"> - חוץ מן החולדה, מפני שהיא מלקקת</w:t>
      </w:r>
      <w:r>
        <w:rPr>
          <w:rFonts w:ascii="David" w:hAnsi="David" w:cs="David"/>
          <w:color w:val="0000FF"/>
          <w:sz w:val="24"/>
          <w:szCs w:val="24"/>
          <w:vertAlign w:val="superscript"/>
          <w:rtl/>
        </w:rPr>
        <w:footnoteReference w:customMarkFollows="1" w:id="856"/>
        <w:t>856</w:t>
      </w:r>
      <w:r>
        <w:rPr>
          <w:rFonts w:ascii="David" w:hAnsi="David" w:cs="David"/>
          <w:color w:val="000000"/>
          <w:sz w:val="24"/>
          <w:szCs w:val="24"/>
          <w:rtl/>
        </w:rPr>
        <w:t>, יש מן הראשונים שפירשו שפסולם של אותם הפוסלים הוא משום שדרכם להוציא רוק מפיהם אל המים, ונפסלו המים משום תערובת הרוק</w:t>
      </w:r>
      <w:r>
        <w:rPr>
          <w:rFonts w:ascii="David" w:hAnsi="David" w:cs="David"/>
          <w:color w:val="0000FF"/>
          <w:sz w:val="24"/>
          <w:szCs w:val="24"/>
          <w:vertAlign w:val="superscript"/>
          <w:rtl/>
        </w:rPr>
        <w:footnoteReference w:customMarkFollows="1" w:id="857"/>
        <w:t>857</w:t>
      </w:r>
      <w:r>
        <w:rPr>
          <w:rFonts w:ascii="David" w:hAnsi="David" w:cs="David"/>
          <w:color w:val="000000"/>
          <w:sz w:val="24"/>
          <w:szCs w:val="24"/>
          <w:rtl/>
        </w:rPr>
        <w:t>, ולכך יונה אינה פוסלת, שכיון שהיא מוצצת אין ריר יוצא מפיה ומתערב במים, אבל חולדה שמלקקת בלשונה, נמצאת הליחה יוצאת מפיה למים</w:t>
      </w:r>
      <w:r>
        <w:rPr>
          <w:rFonts w:ascii="David" w:hAnsi="David" w:cs="David"/>
          <w:color w:val="0000FF"/>
          <w:sz w:val="24"/>
          <w:szCs w:val="24"/>
          <w:vertAlign w:val="superscript"/>
          <w:rtl/>
        </w:rPr>
        <w:footnoteReference w:customMarkFollows="1" w:id="858"/>
        <w:t>858</w:t>
      </w:r>
      <w:r>
        <w:rPr>
          <w:rFonts w:ascii="David" w:hAnsi="David" w:cs="David"/>
          <w:color w:val="000000"/>
          <w:sz w:val="24"/>
          <w:szCs w:val="24"/>
          <w:rtl/>
        </w:rPr>
        <w:t>, ולדבריהם, הוא הדין כששתו ממים שאינם מקודשים פוסלים אותם</w:t>
      </w:r>
      <w:r>
        <w:rPr>
          <w:rFonts w:ascii="David" w:hAnsi="David" w:cs="David"/>
          <w:color w:val="0000FF"/>
          <w:sz w:val="24"/>
          <w:szCs w:val="24"/>
          <w:vertAlign w:val="superscript"/>
          <w:rtl/>
        </w:rPr>
        <w:footnoteReference w:customMarkFollows="1" w:id="859"/>
        <w:t>859</w:t>
      </w:r>
      <w:r>
        <w:rPr>
          <w:rFonts w:ascii="David" w:hAnsi="David" w:cs="David"/>
          <w:color w:val="000000"/>
          <w:sz w:val="24"/>
          <w:szCs w:val="24"/>
          <w:rtl/>
        </w:rPr>
        <w:t>. וכן בדעת רבן גמליאל, שאף הנחש פוסל את המים בשתייתו, מפני שהוא מקיא</w:t>
      </w:r>
      <w:r>
        <w:rPr>
          <w:rFonts w:ascii="David" w:hAnsi="David" w:cs="David"/>
          <w:color w:val="0000FF"/>
          <w:sz w:val="24"/>
          <w:szCs w:val="24"/>
          <w:vertAlign w:val="superscript"/>
          <w:rtl/>
        </w:rPr>
        <w:footnoteReference w:customMarkFollows="1" w:id="860"/>
        <w:t>860</w:t>
      </w:r>
      <w:r>
        <w:rPr>
          <w:rFonts w:ascii="David" w:hAnsi="David" w:cs="David"/>
          <w:color w:val="000000"/>
          <w:sz w:val="24"/>
          <w:szCs w:val="24"/>
          <w:rtl/>
        </w:rPr>
        <w:t>, שאף על פי שברוב* הפעמים אינו מקיא, חששו למיעוט</w:t>
      </w:r>
      <w:r>
        <w:rPr>
          <w:rFonts w:ascii="David" w:hAnsi="David" w:cs="David"/>
          <w:color w:val="0000FF"/>
          <w:sz w:val="24"/>
          <w:szCs w:val="24"/>
          <w:vertAlign w:val="superscript"/>
          <w:rtl/>
        </w:rPr>
        <w:footnoteReference w:customMarkFollows="1" w:id="861"/>
        <w:t>861</w:t>
      </w:r>
      <w:r>
        <w:rPr>
          <w:rFonts w:ascii="David" w:hAnsi="David" w:cs="David"/>
          <w:color w:val="000000"/>
          <w:sz w:val="24"/>
          <w:szCs w:val="24"/>
          <w:rtl/>
        </w:rPr>
        <w:t>, יש מן הראשונים שפירשו שהיינו משום שהרוק היוצא מפיו אל תוך המים, פוסל את המים בתערובתו</w:t>
      </w:r>
      <w:r>
        <w:rPr>
          <w:rFonts w:ascii="David" w:hAnsi="David" w:cs="David"/>
          <w:color w:val="0000FF"/>
          <w:sz w:val="24"/>
          <w:szCs w:val="24"/>
          <w:vertAlign w:val="superscript"/>
          <w:rtl/>
        </w:rPr>
        <w:footnoteReference w:customMarkFollows="1" w:id="862"/>
        <w:t>862</w:t>
      </w:r>
      <w:r>
        <w:rPr>
          <w:rFonts w:ascii="David" w:hAnsi="David" w:cs="David"/>
          <w:color w:val="000000"/>
          <w:sz w:val="24"/>
          <w:szCs w:val="24"/>
          <w:rtl/>
        </w:rPr>
        <w:t>, ואין הלכה כרבן גמליאל</w:t>
      </w:r>
      <w:r>
        <w:rPr>
          <w:rFonts w:ascii="David" w:hAnsi="David" w:cs="David"/>
          <w:color w:val="0000FF"/>
          <w:sz w:val="24"/>
          <w:szCs w:val="24"/>
          <w:vertAlign w:val="superscript"/>
          <w:rtl/>
        </w:rPr>
        <w:footnoteReference w:customMarkFollows="1" w:id="863"/>
        <w:t>863</w:t>
      </w:r>
      <w:r>
        <w:rPr>
          <w:rFonts w:ascii="David" w:hAnsi="David" w:cs="David"/>
          <w:color w:val="000000"/>
          <w:sz w:val="24"/>
          <w:szCs w:val="24"/>
          <w:rtl/>
        </w:rPr>
        <w:t>, ויש סוברים שהלכה כדבריו</w:t>
      </w:r>
      <w:r>
        <w:rPr>
          <w:rFonts w:ascii="David" w:hAnsi="David" w:cs="David"/>
          <w:color w:val="0000FF"/>
          <w:sz w:val="24"/>
          <w:szCs w:val="24"/>
          <w:vertAlign w:val="superscript"/>
          <w:rtl/>
        </w:rPr>
        <w:footnoteReference w:customMarkFollows="1" w:id="864"/>
        <w:t>864</w:t>
      </w:r>
      <w:r>
        <w:rPr>
          <w:rFonts w:ascii="David" w:hAnsi="David" w:cs="David"/>
          <w:color w:val="000000"/>
          <w:sz w:val="24"/>
          <w:szCs w:val="24"/>
          <w:rtl/>
        </w:rPr>
        <w:t>. וכן בדעת ר' אליעזר, שאף העכבר פוסל את המים בשתייתו</w:t>
      </w:r>
      <w:r>
        <w:rPr>
          <w:rFonts w:ascii="David" w:hAnsi="David" w:cs="David"/>
          <w:color w:val="0000FF"/>
          <w:sz w:val="24"/>
          <w:szCs w:val="24"/>
          <w:vertAlign w:val="superscript"/>
          <w:rtl/>
        </w:rPr>
        <w:footnoteReference w:customMarkFollows="1" w:id="865"/>
        <w:t>865</w:t>
      </w:r>
      <w:r>
        <w:rPr>
          <w:rFonts w:ascii="David" w:hAnsi="David" w:cs="David"/>
          <w:color w:val="000000"/>
          <w:sz w:val="24"/>
          <w:szCs w:val="24"/>
          <w:rtl/>
        </w:rPr>
        <w:t>, אף על פי שאין דרכו להוציא רוק מפיו</w:t>
      </w:r>
      <w:r>
        <w:rPr>
          <w:rFonts w:ascii="David" w:hAnsi="David" w:cs="David"/>
          <w:color w:val="0000FF"/>
          <w:sz w:val="24"/>
          <w:szCs w:val="24"/>
          <w:vertAlign w:val="superscript"/>
          <w:rtl/>
        </w:rPr>
        <w:footnoteReference w:customMarkFollows="1" w:id="866"/>
        <w:t>866</w:t>
      </w:r>
      <w:r>
        <w:rPr>
          <w:rFonts w:ascii="David" w:hAnsi="David" w:cs="David"/>
          <w:color w:val="000000"/>
          <w:sz w:val="24"/>
          <w:szCs w:val="24"/>
          <w:rtl/>
        </w:rPr>
        <w:t>, יש מן הראשונים שפירשו שפסולו משום שחוששים שמוציא רוק, ופוסל את המים בתערובתו</w:t>
      </w:r>
      <w:r>
        <w:rPr>
          <w:rFonts w:ascii="David" w:hAnsi="David" w:cs="David"/>
          <w:color w:val="0000FF"/>
          <w:sz w:val="24"/>
          <w:szCs w:val="24"/>
          <w:vertAlign w:val="superscript"/>
          <w:rtl/>
        </w:rPr>
        <w:footnoteReference w:customMarkFollows="1" w:id="867"/>
        <w:t>867</w:t>
      </w:r>
      <w:r>
        <w:rPr>
          <w:rFonts w:ascii="David" w:hAnsi="David" w:cs="David"/>
          <w:color w:val="000000"/>
          <w:sz w:val="24"/>
          <w:szCs w:val="24"/>
          <w:rtl/>
        </w:rPr>
        <w:t>. על הסוברים שלא שנינו שבעלי חיים פוסלים בשתייתם מן המים אלא מטעמים אחרים, ומהם שלדעתם הדברים אמורים דוקא במים שאינם מקודשים, עי' לעיל</w:t>
      </w:r>
      <w:r>
        <w:rPr>
          <w:rFonts w:ascii="David" w:hAnsi="David" w:cs="David"/>
          <w:color w:val="0000FF"/>
          <w:sz w:val="24"/>
          <w:szCs w:val="24"/>
          <w:vertAlign w:val="superscript"/>
          <w:rtl/>
        </w:rPr>
        <w:footnoteReference w:customMarkFollows="1" w:id="868"/>
        <w:t>868</w:t>
      </w:r>
      <w:r>
        <w:rPr>
          <w:rFonts w:ascii="David" w:hAnsi="David" w:cs="David"/>
          <w:color w:val="000000"/>
          <w:sz w:val="24"/>
          <w:szCs w:val="24"/>
          <w:rtl/>
        </w:rPr>
        <w:t>. על פרה ששתתה מי חטאת שבטלו במעיה, ועל טעם הדבר, ועל הטעם שאין אומרים שבטלו אף בפיה, מחמת הפסול שבשתיית כל בהמה, ועל הסוברים שבטלו אף בפיה, עי' להלן: כשנפסלו</w:t>
      </w:r>
      <w:r>
        <w:rPr>
          <w:rFonts w:ascii="David" w:hAnsi="David" w:cs="David"/>
          <w:color w:val="0000FF"/>
          <w:sz w:val="24"/>
          <w:szCs w:val="24"/>
          <w:vertAlign w:val="superscript"/>
          <w:rtl/>
        </w:rPr>
        <w:footnoteReference w:customMarkFollows="1" w:id="869"/>
        <w:t>869</w:t>
      </w:r>
      <w:r>
        <w:rPr>
          <w:rFonts w:ascii="David" w:hAnsi="David" w:cs="David"/>
          <w:color w:val="000000"/>
          <w:sz w:val="24"/>
          <w:szCs w:val="24"/>
          <w:rtl/>
        </w:rPr>
        <w:t xml:space="preserve">. </w:t>
      </w:r>
    </w:p>
    <w:p w14:paraId="24B6536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[בספק]</w:t>
      </w:r>
    </w:p>
    <w:p w14:paraId="01AAAC0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צלוחית של מי חטאת - ואפילו שאינם מקודשים</w:t>
      </w:r>
      <w:r>
        <w:rPr>
          <w:rFonts w:ascii="David" w:hAnsi="David" w:cs="David"/>
          <w:color w:val="0000FF"/>
          <w:sz w:val="24"/>
          <w:szCs w:val="24"/>
          <w:vertAlign w:val="superscript"/>
          <w:rtl/>
        </w:rPr>
        <w:footnoteReference w:customMarkFollows="1" w:id="870"/>
        <w:t>870</w:t>
      </w:r>
      <w:r>
        <w:rPr>
          <w:rFonts w:ascii="David" w:hAnsi="David" w:cs="David"/>
          <w:color w:val="000000"/>
          <w:sz w:val="24"/>
          <w:szCs w:val="24"/>
          <w:rtl/>
        </w:rPr>
        <w:t xml:space="preserve"> - שהניחה מכוסה ובא ומצאה מגולה, אם יכולה חולדה לשתות הימנה - כגון שאינה תלויה באויר</w:t>
      </w:r>
      <w:r>
        <w:rPr>
          <w:rFonts w:ascii="David" w:hAnsi="David" w:cs="David"/>
          <w:color w:val="0000FF"/>
          <w:sz w:val="24"/>
          <w:szCs w:val="24"/>
          <w:vertAlign w:val="superscript"/>
          <w:rtl/>
        </w:rPr>
        <w:footnoteReference w:customMarkFollows="1" w:id="871"/>
        <w:t>871</w:t>
      </w:r>
      <w:r>
        <w:rPr>
          <w:rFonts w:ascii="David" w:hAnsi="David" w:cs="David"/>
          <w:color w:val="000000"/>
          <w:sz w:val="24"/>
          <w:szCs w:val="24"/>
          <w:rtl/>
        </w:rPr>
        <w:t xml:space="preserve"> - ולדברי רבן גמליאל אף אם נחש יכול לשתות</w:t>
      </w:r>
      <w:r>
        <w:rPr>
          <w:rFonts w:ascii="David" w:hAnsi="David" w:cs="David"/>
          <w:color w:val="0000FF"/>
          <w:sz w:val="24"/>
          <w:szCs w:val="24"/>
          <w:vertAlign w:val="superscript"/>
          <w:rtl/>
        </w:rPr>
        <w:footnoteReference w:customMarkFollows="1" w:id="872"/>
        <w:t>872</w:t>
      </w:r>
      <w:r>
        <w:rPr>
          <w:rFonts w:ascii="David" w:hAnsi="David" w:cs="David"/>
          <w:color w:val="000000"/>
          <w:sz w:val="24"/>
          <w:szCs w:val="24"/>
          <w:rtl/>
        </w:rPr>
        <w:t xml:space="preserve"> - אף על פי שנחש ששתה אינו אלא ספק אם הקיא מפיו לתוך המים</w:t>
      </w:r>
      <w:r>
        <w:rPr>
          <w:rFonts w:ascii="David" w:hAnsi="David" w:cs="David"/>
          <w:color w:val="0000FF"/>
          <w:sz w:val="24"/>
          <w:szCs w:val="24"/>
          <w:vertAlign w:val="superscript"/>
          <w:rtl/>
        </w:rPr>
        <w:footnoteReference w:customMarkFollows="1" w:id="873"/>
        <w:t>873</w:t>
      </w:r>
      <w:r>
        <w:rPr>
          <w:rFonts w:ascii="David" w:hAnsi="David" w:cs="David"/>
          <w:color w:val="000000"/>
          <w:sz w:val="24"/>
          <w:szCs w:val="24"/>
          <w:rtl/>
        </w:rPr>
        <w:t xml:space="preserve"> - פסולה</w:t>
      </w:r>
      <w:r>
        <w:rPr>
          <w:rFonts w:ascii="David" w:hAnsi="David" w:cs="David"/>
          <w:color w:val="0000FF"/>
          <w:sz w:val="24"/>
          <w:szCs w:val="24"/>
          <w:vertAlign w:val="superscript"/>
          <w:rtl/>
        </w:rPr>
        <w:footnoteReference w:customMarkFollows="1" w:id="874"/>
        <w:t>874</w:t>
      </w:r>
      <w:r>
        <w:rPr>
          <w:rFonts w:ascii="David" w:hAnsi="David" w:cs="David"/>
          <w:color w:val="000000"/>
          <w:sz w:val="24"/>
          <w:szCs w:val="24"/>
          <w:rtl/>
        </w:rPr>
        <w:t>, שאף על פי שאפשר שנתגלתה על ידי שאר שרצים, תולים בחולדה להחמיר, אף על פי שהוא מיעוט רחוק</w:t>
      </w:r>
      <w:r>
        <w:rPr>
          <w:rFonts w:ascii="David" w:hAnsi="David" w:cs="David"/>
          <w:color w:val="0000FF"/>
          <w:sz w:val="24"/>
          <w:szCs w:val="24"/>
          <w:vertAlign w:val="superscript"/>
          <w:rtl/>
        </w:rPr>
        <w:footnoteReference w:customMarkFollows="1" w:id="875"/>
        <w:t>875</w:t>
      </w:r>
      <w:r>
        <w:rPr>
          <w:rFonts w:ascii="David" w:hAnsi="David" w:cs="David"/>
          <w:color w:val="000000"/>
          <w:sz w:val="24"/>
          <w:szCs w:val="24"/>
          <w:rtl/>
        </w:rPr>
        <w:t xml:space="preserve">. אבל אם הניחה מגולה ומצאה מגולה כשרה, ואין חוששים שמא שתתה ממנה חולדה, שלא החמירו כל כך </w:t>
      </w:r>
    </w:p>
    <w:p w14:paraId="0B973E7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בספק איסור</w:t>
      </w:r>
      <w:r>
        <w:rPr>
          <w:rFonts w:ascii="David" w:hAnsi="David" w:cs="David"/>
          <w:color w:val="0000FF"/>
          <w:sz w:val="24"/>
          <w:szCs w:val="24"/>
          <w:vertAlign w:val="superscript"/>
          <w:rtl/>
        </w:rPr>
        <w:footnoteReference w:customMarkFollows="1" w:id="876"/>
        <w:t>876</w:t>
      </w:r>
      <w:r>
        <w:rPr>
          <w:rFonts w:ascii="David" w:hAnsi="David" w:cs="David"/>
          <w:color w:val="000000"/>
          <w:sz w:val="24"/>
          <w:szCs w:val="24"/>
          <w:rtl/>
        </w:rPr>
        <w:t>, שכל שאין ריעותא מעמידים את המים על חזקתם</w:t>
      </w:r>
      <w:r>
        <w:rPr>
          <w:rFonts w:ascii="David" w:hAnsi="David" w:cs="David"/>
          <w:color w:val="0000FF"/>
          <w:sz w:val="24"/>
          <w:szCs w:val="24"/>
          <w:vertAlign w:val="superscript"/>
          <w:rtl/>
        </w:rPr>
        <w:footnoteReference w:customMarkFollows="1" w:id="877"/>
        <w:t>877</w:t>
      </w:r>
      <w:r>
        <w:rPr>
          <w:rFonts w:ascii="David" w:hAnsi="David" w:cs="David"/>
          <w:color w:val="000000"/>
          <w:sz w:val="24"/>
          <w:szCs w:val="24"/>
          <w:rtl/>
        </w:rPr>
        <w:t>, ויש סוברים שהיא פסולה</w:t>
      </w:r>
      <w:r>
        <w:rPr>
          <w:rFonts w:ascii="David" w:hAnsi="David" w:cs="David"/>
          <w:color w:val="0000FF"/>
          <w:sz w:val="24"/>
          <w:szCs w:val="24"/>
          <w:vertAlign w:val="superscript"/>
          <w:rtl/>
        </w:rPr>
        <w:footnoteReference w:customMarkFollows="1" w:id="878"/>
        <w:t>878</w:t>
      </w:r>
      <w:r>
        <w:rPr>
          <w:rFonts w:ascii="David" w:hAnsi="David" w:cs="David"/>
          <w:color w:val="000000"/>
          <w:sz w:val="24"/>
          <w:szCs w:val="24"/>
          <w:rtl/>
        </w:rPr>
        <w:t>. על צלוחית שהניחה מגולה ומצאה מכוסה, שהיא פסולה מטעם אחר, עי' להלן: פסולם מחמת טומאה</w:t>
      </w:r>
      <w:r>
        <w:rPr>
          <w:rFonts w:ascii="David" w:hAnsi="David" w:cs="David"/>
          <w:color w:val="0000FF"/>
          <w:sz w:val="24"/>
          <w:szCs w:val="24"/>
          <w:vertAlign w:val="superscript"/>
          <w:rtl/>
        </w:rPr>
        <w:footnoteReference w:customMarkFollows="1" w:id="879"/>
        <w:t>879</w:t>
      </w:r>
      <w:r>
        <w:rPr>
          <w:rFonts w:ascii="David" w:hAnsi="David" w:cs="David"/>
          <w:color w:val="000000"/>
          <w:sz w:val="24"/>
          <w:szCs w:val="24"/>
          <w:rtl/>
        </w:rPr>
        <w:t xml:space="preserve">. </w:t>
      </w:r>
    </w:p>
    <w:p w14:paraId="44437F7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[שתיית בני אדם]</w:t>
      </w:r>
    </w:p>
    <w:p w14:paraId="6C7D15B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אדם ששתה מים מקודשים, שנינו במשנה שהוא פוסל את המים שנשארו</w:t>
      </w:r>
      <w:r>
        <w:rPr>
          <w:rFonts w:ascii="David" w:hAnsi="David" w:cs="David"/>
          <w:color w:val="0000FF"/>
          <w:sz w:val="24"/>
          <w:szCs w:val="24"/>
          <w:vertAlign w:val="superscript"/>
          <w:rtl/>
        </w:rPr>
        <w:footnoteReference w:customMarkFollows="1" w:id="880"/>
        <w:t>880</w:t>
      </w:r>
      <w:r>
        <w:rPr>
          <w:rFonts w:ascii="David" w:hAnsi="David" w:cs="David"/>
          <w:color w:val="000000"/>
          <w:sz w:val="24"/>
          <w:szCs w:val="24"/>
          <w:rtl/>
        </w:rPr>
        <w:t>, משום שהרוק שבפיו מתערב במים</w:t>
      </w:r>
      <w:r>
        <w:rPr>
          <w:rFonts w:ascii="David" w:hAnsi="David" w:cs="David"/>
          <w:color w:val="0000FF"/>
          <w:sz w:val="24"/>
          <w:szCs w:val="24"/>
          <w:vertAlign w:val="superscript"/>
          <w:rtl/>
        </w:rPr>
        <w:footnoteReference w:customMarkFollows="1" w:id="881"/>
        <w:t>881</w:t>
      </w:r>
      <w:r>
        <w:rPr>
          <w:rFonts w:ascii="David" w:hAnsi="David" w:cs="David"/>
          <w:color w:val="000000"/>
          <w:sz w:val="24"/>
          <w:szCs w:val="24"/>
          <w:rtl/>
        </w:rPr>
        <w:t>, ואם יצק את המים לתוך פיו בלא שיקרב את פיו לשפת הכלי, לא פסל את המים</w:t>
      </w:r>
      <w:r>
        <w:rPr>
          <w:rFonts w:ascii="David" w:hAnsi="David" w:cs="David"/>
          <w:color w:val="0000FF"/>
          <w:sz w:val="24"/>
          <w:szCs w:val="24"/>
          <w:vertAlign w:val="superscript"/>
          <w:rtl/>
        </w:rPr>
        <w:footnoteReference w:customMarkFollows="1" w:id="882"/>
        <w:t>882</w:t>
      </w:r>
      <w:r>
        <w:rPr>
          <w:rFonts w:ascii="David" w:hAnsi="David" w:cs="David"/>
          <w:color w:val="000000"/>
          <w:sz w:val="24"/>
          <w:szCs w:val="24"/>
          <w:rtl/>
        </w:rPr>
        <w:t>, ויש מן הראשונים שכתבו שהוא הדין כששתה על ידי קנה</w:t>
      </w:r>
      <w:r>
        <w:rPr>
          <w:rFonts w:ascii="David" w:hAnsi="David" w:cs="David"/>
          <w:color w:val="0000FF"/>
          <w:sz w:val="24"/>
          <w:szCs w:val="24"/>
          <w:vertAlign w:val="superscript"/>
          <w:rtl/>
        </w:rPr>
        <w:footnoteReference w:customMarkFollows="1" w:id="883"/>
        <w:t>883</w:t>
      </w:r>
      <w:r>
        <w:rPr>
          <w:rFonts w:ascii="David" w:hAnsi="David" w:cs="David"/>
          <w:color w:val="000000"/>
          <w:sz w:val="24"/>
          <w:szCs w:val="24"/>
          <w:rtl/>
        </w:rPr>
        <w:t>, ויש שכתבו בדעת ראשונים, שלא פסלה המשנה שתיית אדם משום רוק שבפיו, לפי שאין דרכו להוציא רוק שבפיו למים, ואין שתייתו פוסלת אלא מטעם אחר</w:t>
      </w:r>
      <w:r>
        <w:rPr>
          <w:rFonts w:ascii="David" w:hAnsi="David" w:cs="David"/>
          <w:color w:val="0000FF"/>
          <w:sz w:val="24"/>
          <w:szCs w:val="24"/>
          <w:vertAlign w:val="superscript"/>
          <w:rtl/>
        </w:rPr>
        <w:footnoteReference w:customMarkFollows="1" w:id="884"/>
        <w:t>884</w:t>
      </w:r>
      <w:r>
        <w:rPr>
          <w:rFonts w:ascii="David" w:hAnsi="David" w:cs="David"/>
          <w:color w:val="000000"/>
          <w:sz w:val="24"/>
          <w:szCs w:val="24"/>
          <w:rtl/>
        </w:rPr>
        <w:t>. על כך שבמים שאינם מקודשים, פוסל בשתייתו מטעם נוסף, ועל התנאים הסוברים שאף במים מקודשים פוסל מאותו טעם, ושאפילו חשב או הטה לשתות ולא שתה, פעמים שיש סוברים שהוא פסול מטעם זה, ע"ע הסח הדעת</w:t>
      </w:r>
      <w:r>
        <w:rPr>
          <w:rFonts w:ascii="David" w:hAnsi="David" w:cs="David"/>
          <w:color w:val="0000FF"/>
          <w:sz w:val="24"/>
          <w:szCs w:val="24"/>
          <w:vertAlign w:val="superscript"/>
          <w:rtl/>
        </w:rPr>
        <w:footnoteReference w:customMarkFollows="1" w:id="885"/>
        <w:t>885</w:t>
      </w:r>
      <w:r>
        <w:rPr>
          <w:rFonts w:ascii="David" w:hAnsi="David" w:cs="David"/>
          <w:color w:val="000000"/>
          <w:sz w:val="24"/>
          <w:szCs w:val="24"/>
          <w:rtl/>
        </w:rPr>
        <w:t xml:space="preserve">. </w:t>
      </w:r>
    </w:p>
    <w:p w14:paraId="15B5F75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[מגע בלא תערובת]</w:t>
      </w:r>
    </w:p>
    <w:p w14:paraId="00DE04B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פסולים שנגעו במי חטאת בלא שנתערבו בהם, אינם פוסלים</w:t>
      </w:r>
      <w:r>
        <w:rPr>
          <w:rFonts w:ascii="David" w:hAnsi="David" w:cs="David"/>
          <w:color w:val="0000FF"/>
          <w:sz w:val="24"/>
          <w:szCs w:val="24"/>
          <w:vertAlign w:val="superscript"/>
          <w:rtl/>
        </w:rPr>
        <w:footnoteReference w:customMarkFollows="1" w:id="886"/>
        <w:t>886</w:t>
      </w:r>
      <w:r>
        <w:rPr>
          <w:rFonts w:ascii="David" w:hAnsi="David" w:cs="David"/>
          <w:color w:val="000000"/>
          <w:sz w:val="24"/>
          <w:szCs w:val="24"/>
          <w:rtl/>
        </w:rPr>
        <w:t>, ומטעם זה שנינו, שאם היה ספוג בתוך השוקת של מי חטאת, אין המים שבשוקת נפסלים מחמת מי הספוג הפסולים</w:t>
      </w:r>
      <w:r>
        <w:rPr>
          <w:rFonts w:ascii="David" w:hAnsi="David" w:cs="David"/>
          <w:color w:val="0000FF"/>
          <w:sz w:val="24"/>
          <w:szCs w:val="24"/>
          <w:vertAlign w:val="superscript"/>
          <w:rtl/>
        </w:rPr>
        <w:footnoteReference w:customMarkFollows="1" w:id="887"/>
        <w:t>887</w:t>
      </w:r>
      <w:r>
        <w:rPr>
          <w:rFonts w:ascii="David" w:hAnsi="David" w:cs="David"/>
          <w:color w:val="000000"/>
          <w:sz w:val="24"/>
          <w:szCs w:val="24"/>
          <w:rtl/>
        </w:rPr>
        <w:t xml:space="preserve"> - כל שלא נסחטו מן הספוג אל המים שבשוקת</w:t>
      </w:r>
      <w:r>
        <w:rPr>
          <w:rFonts w:ascii="David" w:hAnsi="David" w:cs="David"/>
          <w:color w:val="0000FF"/>
          <w:sz w:val="24"/>
          <w:szCs w:val="24"/>
          <w:vertAlign w:val="superscript"/>
          <w:rtl/>
        </w:rPr>
        <w:footnoteReference w:customMarkFollows="1" w:id="888"/>
        <w:t>888</w:t>
      </w:r>
      <w:r>
        <w:rPr>
          <w:rFonts w:ascii="David" w:hAnsi="David" w:cs="David"/>
          <w:color w:val="000000"/>
          <w:sz w:val="24"/>
          <w:szCs w:val="24"/>
          <w:rtl/>
        </w:rPr>
        <w:t xml:space="preserve"> - אף על פי שהספוג פתוח בכל צדדיו אל המים שבשוקת, ומים שבו נוגעים בהם, שנגיעה אינה חשובה תערובת</w:t>
      </w:r>
      <w:r>
        <w:rPr>
          <w:rFonts w:ascii="David" w:hAnsi="David" w:cs="David"/>
          <w:color w:val="0000FF"/>
          <w:sz w:val="24"/>
          <w:szCs w:val="24"/>
          <w:vertAlign w:val="superscript"/>
          <w:rtl/>
        </w:rPr>
        <w:footnoteReference w:customMarkFollows="1" w:id="889"/>
        <w:t>889</w:t>
      </w:r>
      <w:r>
        <w:rPr>
          <w:rFonts w:ascii="David" w:hAnsi="David" w:cs="David"/>
          <w:color w:val="000000"/>
          <w:sz w:val="24"/>
          <w:szCs w:val="24"/>
          <w:rtl/>
        </w:rPr>
        <w:t xml:space="preserve">. </w:t>
      </w:r>
    </w:p>
    <w:p w14:paraId="6066D67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[תערובת מקודשים במקודשים]</w:t>
      </w:r>
    </w:p>
    <w:p w14:paraId="643E56B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מקודשים שנתערבו בהם מים מקודשים אחרים, כשרים</w:t>
      </w:r>
      <w:r>
        <w:rPr>
          <w:rFonts w:ascii="David" w:hAnsi="David" w:cs="David"/>
          <w:color w:val="0000FF"/>
          <w:sz w:val="24"/>
          <w:szCs w:val="24"/>
          <w:vertAlign w:val="superscript"/>
          <w:rtl/>
        </w:rPr>
        <w:footnoteReference w:customMarkFollows="1" w:id="890"/>
        <w:t>890</w:t>
      </w:r>
      <w:r>
        <w:rPr>
          <w:rFonts w:ascii="David" w:hAnsi="David" w:cs="David"/>
          <w:color w:val="000000"/>
          <w:sz w:val="24"/>
          <w:szCs w:val="24"/>
          <w:rtl/>
        </w:rPr>
        <w:t>. ולפיכך אם היו בכלי מים המקודשים, וכלו, אין צריך לנגב הכלי קודם שיתן לתוכו מים מקודשים אחרים</w:t>
      </w:r>
      <w:r>
        <w:rPr>
          <w:rFonts w:ascii="David" w:hAnsi="David" w:cs="David"/>
          <w:color w:val="0000FF"/>
          <w:sz w:val="24"/>
          <w:szCs w:val="24"/>
          <w:vertAlign w:val="superscript"/>
          <w:rtl/>
        </w:rPr>
        <w:footnoteReference w:customMarkFollows="1" w:id="891"/>
        <w:t>891</w:t>
      </w:r>
      <w:r>
        <w:rPr>
          <w:rFonts w:ascii="David" w:hAnsi="David" w:cs="David"/>
          <w:color w:val="000000"/>
          <w:sz w:val="24"/>
          <w:szCs w:val="24"/>
          <w:rtl/>
        </w:rPr>
        <w:t>. וכן אם נפל ספוג לתוך המים המקודשים, יש סוברים שנוטלו וסוחטו חוץ לכלי, והמים שבכלי כשרים</w:t>
      </w:r>
      <w:r>
        <w:rPr>
          <w:rFonts w:ascii="David" w:hAnsi="David" w:cs="David"/>
          <w:color w:val="0000FF"/>
          <w:sz w:val="24"/>
          <w:szCs w:val="24"/>
          <w:vertAlign w:val="superscript"/>
          <w:rtl/>
        </w:rPr>
        <w:footnoteReference w:customMarkFollows="1" w:id="892"/>
        <w:t>892</w:t>
      </w:r>
      <w:r>
        <w:rPr>
          <w:rFonts w:ascii="David" w:hAnsi="David" w:cs="David"/>
          <w:color w:val="000000"/>
          <w:sz w:val="24"/>
          <w:szCs w:val="24"/>
          <w:rtl/>
        </w:rPr>
        <w:t>, ואף על פי שבנטילתו נסחט מעט מן הספוג אל הכלי, אין המים שבכלי נפסלים בכך, לפי שהמים שבספוג היו מקודשים כבר</w:t>
      </w:r>
      <w:r>
        <w:rPr>
          <w:rFonts w:ascii="David" w:hAnsi="David" w:cs="David"/>
          <w:color w:val="0000FF"/>
          <w:sz w:val="24"/>
          <w:szCs w:val="24"/>
          <w:vertAlign w:val="superscript"/>
          <w:rtl/>
        </w:rPr>
        <w:footnoteReference w:customMarkFollows="1" w:id="893"/>
        <w:t>893</w:t>
      </w:r>
      <w:r>
        <w:rPr>
          <w:rFonts w:ascii="David" w:hAnsi="David" w:cs="David"/>
          <w:color w:val="000000"/>
          <w:sz w:val="24"/>
          <w:szCs w:val="24"/>
          <w:rtl/>
        </w:rPr>
        <w:t>, ומכל מקום, לא יסחוט את הספוג בידיו אל תוך הכלי</w:t>
      </w:r>
      <w:r>
        <w:rPr>
          <w:rFonts w:ascii="David" w:hAnsi="David" w:cs="David"/>
          <w:color w:val="0000FF"/>
          <w:sz w:val="24"/>
          <w:szCs w:val="24"/>
          <w:vertAlign w:val="superscript"/>
          <w:rtl/>
        </w:rPr>
        <w:footnoteReference w:customMarkFollows="1" w:id="894"/>
        <w:t>894</w:t>
      </w:r>
      <w:r>
        <w:rPr>
          <w:rFonts w:ascii="David" w:hAnsi="David" w:cs="David"/>
          <w:color w:val="000000"/>
          <w:sz w:val="24"/>
          <w:szCs w:val="24"/>
          <w:rtl/>
        </w:rPr>
        <w:t>. ואם סחט את הספוג בידיו לתוך הכלי, יש מן האחרונים שכתבו, שנפסלו המים שבכלי</w:t>
      </w:r>
      <w:r>
        <w:rPr>
          <w:rFonts w:ascii="David" w:hAnsi="David" w:cs="David"/>
          <w:color w:val="0000FF"/>
          <w:sz w:val="24"/>
          <w:szCs w:val="24"/>
          <w:vertAlign w:val="superscript"/>
          <w:rtl/>
        </w:rPr>
        <w:footnoteReference w:customMarkFollows="1" w:id="895"/>
        <w:t>895</w:t>
      </w:r>
      <w:r>
        <w:rPr>
          <w:rFonts w:ascii="David" w:hAnsi="David" w:cs="David"/>
          <w:color w:val="000000"/>
          <w:sz w:val="24"/>
          <w:szCs w:val="24"/>
          <w:rtl/>
        </w:rPr>
        <w:t xml:space="preserve">, וצידדו לומר בטעם הדבר, שגזרו משום ספוג שנפל למים קודם שנתקדשו - שהמים </w:t>
      </w:r>
    </w:p>
    <w:p w14:paraId="46928F3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שנסחטים ממנו לאחר קידוש פוסלים את שאר המים</w:t>
      </w:r>
      <w:r>
        <w:rPr>
          <w:rFonts w:ascii="David" w:hAnsi="David" w:cs="David"/>
          <w:color w:val="0000FF"/>
          <w:sz w:val="24"/>
          <w:szCs w:val="24"/>
          <w:vertAlign w:val="superscript"/>
          <w:rtl/>
        </w:rPr>
        <w:footnoteReference w:customMarkFollows="1" w:id="896"/>
        <w:t>896</w:t>
      </w:r>
      <w:r>
        <w:rPr>
          <w:rFonts w:ascii="David" w:hAnsi="David" w:cs="David"/>
          <w:color w:val="000000"/>
          <w:sz w:val="24"/>
          <w:szCs w:val="24"/>
          <w:rtl/>
        </w:rPr>
        <w:t xml:space="preserve"> - אבל אם נטל הספוג ובנטילתו נסחטו מים אל הכלי, אינם פוסלים, שכל כך לא גזרו</w:t>
      </w:r>
      <w:r>
        <w:rPr>
          <w:rFonts w:ascii="David" w:hAnsi="David" w:cs="David"/>
          <w:color w:val="0000FF"/>
          <w:sz w:val="24"/>
          <w:szCs w:val="24"/>
          <w:vertAlign w:val="superscript"/>
          <w:rtl/>
        </w:rPr>
        <w:footnoteReference w:customMarkFollows="1" w:id="897"/>
        <w:t>897</w:t>
      </w:r>
      <w:r>
        <w:rPr>
          <w:rFonts w:ascii="David" w:hAnsi="David" w:cs="David"/>
          <w:color w:val="000000"/>
          <w:sz w:val="24"/>
          <w:szCs w:val="24"/>
          <w:rtl/>
        </w:rPr>
        <w:t>, על טעם אחר שנפסלו המים מסחיטת הספוג, עי' לעיל: המים</w:t>
      </w:r>
      <w:r>
        <w:rPr>
          <w:rFonts w:ascii="David" w:hAnsi="David" w:cs="David"/>
          <w:color w:val="0000FF"/>
          <w:sz w:val="24"/>
          <w:szCs w:val="24"/>
          <w:vertAlign w:val="superscript"/>
          <w:rtl/>
        </w:rPr>
        <w:footnoteReference w:customMarkFollows="1" w:id="898"/>
        <w:t>898</w:t>
      </w:r>
      <w:r>
        <w:rPr>
          <w:rFonts w:ascii="David" w:hAnsi="David" w:cs="David"/>
          <w:color w:val="000000"/>
          <w:sz w:val="24"/>
          <w:szCs w:val="24"/>
          <w:rtl/>
        </w:rPr>
        <w:t>. ויש מן האחרונים שנראה מדבריהם שאפילו סחט את הספוג בידיו אל תוך הכלי אין המים נפסלים, אלא שמכוער הדבר להיטהר מסחיטת הספוג</w:t>
      </w:r>
      <w:r>
        <w:rPr>
          <w:rFonts w:ascii="David" w:hAnsi="David" w:cs="David"/>
          <w:color w:val="0000FF"/>
          <w:sz w:val="24"/>
          <w:szCs w:val="24"/>
          <w:vertAlign w:val="superscript"/>
          <w:rtl/>
        </w:rPr>
        <w:footnoteReference w:customMarkFollows="1" w:id="899"/>
        <w:t>899</w:t>
      </w:r>
      <w:r>
        <w:rPr>
          <w:rFonts w:ascii="David" w:hAnsi="David" w:cs="David"/>
          <w:color w:val="000000"/>
          <w:sz w:val="24"/>
          <w:szCs w:val="24"/>
          <w:rtl/>
        </w:rPr>
        <w:t xml:space="preserve">. </w:t>
      </w:r>
    </w:p>
    <w:p w14:paraId="7F8D02C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[שנטמאו]</w:t>
      </w:r>
    </w:p>
    <w:p w14:paraId="5FB159C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ה. פסולם מחמת טומאה.</w:t>
      </w:r>
      <w:r>
        <w:rPr>
          <w:rFonts w:ascii="David" w:hAnsi="David" w:cs="David"/>
          <w:color w:val="000000"/>
          <w:sz w:val="24"/>
          <w:szCs w:val="24"/>
          <w:rtl/>
        </w:rPr>
        <w:t xml:space="preserve"> מים מקודשים שנטמאו</w:t>
      </w:r>
      <w:r>
        <w:rPr>
          <w:rFonts w:ascii="David" w:hAnsi="David" w:cs="David"/>
          <w:color w:val="0000FF"/>
          <w:sz w:val="24"/>
          <w:szCs w:val="24"/>
          <w:vertAlign w:val="superscript"/>
          <w:rtl/>
        </w:rPr>
        <w:footnoteReference w:customMarkFollows="1" w:id="900"/>
        <w:t>900</w:t>
      </w:r>
      <w:r>
        <w:rPr>
          <w:rFonts w:ascii="David" w:hAnsi="David" w:cs="David"/>
          <w:color w:val="000000"/>
          <w:sz w:val="24"/>
          <w:szCs w:val="24"/>
          <w:rtl/>
        </w:rPr>
        <w:t>, נחלקו בהם תנאים: א) לדעת ר' אלעזר אינם נפסלים בכך, ומטהרים בהם את הטמא</w:t>
      </w:r>
      <w:r>
        <w:rPr>
          <w:rFonts w:ascii="David" w:hAnsi="David" w:cs="David"/>
          <w:color w:val="0000FF"/>
          <w:sz w:val="24"/>
          <w:szCs w:val="24"/>
          <w:vertAlign w:val="superscript"/>
          <w:rtl/>
        </w:rPr>
        <w:footnoteReference w:customMarkFollows="1" w:id="901"/>
        <w:t>901</w:t>
      </w:r>
      <w:r>
        <w:rPr>
          <w:rFonts w:ascii="David" w:hAnsi="David" w:cs="David"/>
          <w:color w:val="000000"/>
          <w:sz w:val="24"/>
          <w:szCs w:val="24"/>
          <w:rtl/>
        </w:rPr>
        <w:t xml:space="preserve"> - על אופנים שיש סוברים שאף לדעתו מים שנטמאו פסולים, עי' להלן</w:t>
      </w:r>
      <w:r>
        <w:rPr>
          <w:rFonts w:ascii="David" w:hAnsi="David" w:cs="David"/>
          <w:color w:val="0000FF"/>
          <w:sz w:val="24"/>
          <w:szCs w:val="24"/>
          <w:vertAlign w:val="superscript"/>
          <w:rtl/>
        </w:rPr>
        <w:footnoteReference w:customMarkFollows="1" w:id="902"/>
        <w:t>902</w:t>
      </w:r>
      <w:r>
        <w:rPr>
          <w:rFonts w:ascii="David" w:hAnsi="David" w:cs="David"/>
          <w:color w:val="000000"/>
          <w:sz w:val="24"/>
          <w:szCs w:val="24"/>
          <w:rtl/>
        </w:rPr>
        <w:t xml:space="preserve"> - שהרי נדה* שנטמאה בטומאת-מת*, מזים עליה אף קודם שטבלה לנידתה</w:t>
      </w:r>
      <w:r>
        <w:rPr>
          <w:rFonts w:ascii="David" w:hAnsi="David" w:cs="David"/>
          <w:color w:val="0000FF"/>
          <w:sz w:val="24"/>
          <w:szCs w:val="24"/>
          <w:vertAlign w:val="superscript"/>
          <w:rtl/>
        </w:rPr>
        <w:footnoteReference w:customMarkFollows="1" w:id="903"/>
        <w:t>903</w:t>
      </w:r>
      <w:r>
        <w:rPr>
          <w:rFonts w:ascii="David" w:hAnsi="David" w:cs="David"/>
          <w:color w:val="000000"/>
          <w:sz w:val="24"/>
          <w:szCs w:val="24"/>
          <w:rtl/>
        </w:rPr>
        <w:t xml:space="preserve"> - אף על פי שהמים נטמאים מחמתה</w:t>
      </w:r>
      <w:r>
        <w:rPr>
          <w:rFonts w:ascii="David" w:hAnsi="David" w:cs="David"/>
          <w:color w:val="0000FF"/>
          <w:sz w:val="24"/>
          <w:szCs w:val="24"/>
          <w:vertAlign w:val="superscript"/>
          <w:rtl/>
        </w:rPr>
        <w:footnoteReference w:customMarkFollows="1" w:id="904"/>
        <w:t>904</w:t>
      </w:r>
      <w:r>
        <w:rPr>
          <w:rFonts w:ascii="David" w:hAnsi="David" w:cs="David"/>
          <w:color w:val="000000"/>
          <w:sz w:val="24"/>
          <w:szCs w:val="24"/>
          <w:rtl/>
        </w:rPr>
        <w:t xml:space="preserve"> - שלא מצינו בתורה שהוזקקה לטבול לנידתה תחילה ולקבל הזאה*</w:t>
      </w:r>
      <w:r>
        <w:rPr>
          <w:rFonts w:ascii="David" w:hAnsi="David" w:cs="David"/>
          <w:color w:val="0000FF"/>
          <w:sz w:val="24"/>
          <w:szCs w:val="24"/>
          <w:vertAlign w:val="superscript"/>
          <w:rtl/>
        </w:rPr>
        <w:footnoteReference w:customMarkFollows="1" w:id="905"/>
        <w:t>905</w:t>
      </w:r>
      <w:r>
        <w:rPr>
          <w:rFonts w:ascii="David" w:hAnsi="David" w:cs="David"/>
          <w:color w:val="000000"/>
          <w:sz w:val="24"/>
          <w:szCs w:val="24"/>
          <w:rtl/>
        </w:rPr>
        <w:t>. ופירש אביי שאף על פי שהזאה שעל הנדה לא נטמאה קודם הזאה, אלא בשעת הזאה כשנגעה בנדה</w:t>
      </w:r>
      <w:r>
        <w:rPr>
          <w:rFonts w:ascii="David" w:hAnsi="David" w:cs="David"/>
          <w:color w:val="0000FF"/>
          <w:sz w:val="24"/>
          <w:szCs w:val="24"/>
          <w:vertAlign w:val="superscript"/>
          <w:rtl/>
        </w:rPr>
        <w:footnoteReference w:customMarkFollows="1" w:id="906"/>
        <w:t>906</w:t>
      </w:r>
      <w:r>
        <w:rPr>
          <w:rFonts w:ascii="David" w:hAnsi="David" w:cs="David"/>
          <w:color w:val="000000"/>
          <w:sz w:val="24"/>
          <w:szCs w:val="24"/>
          <w:rtl/>
        </w:rPr>
        <w:t>, ר' אלעזר סובר שלמדים טומאה שחלה קודם הזאה מטומאה שחלה בשעת ההזאה</w:t>
      </w:r>
      <w:r>
        <w:rPr>
          <w:rFonts w:ascii="David" w:hAnsi="David" w:cs="David"/>
          <w:color w:val="0000FF"/>
          <w:sz w:val="24"/>
          <w:szCs w:val="24"/>
          <w:vertAlign w:val="superscript"/>
          <w:rtl/>
        </w:rPr>
        <w:footnoteReference w:customMarkFollows="1" w:id="907"/>
        <w:t>907</w:t>
      </w:r>
      <w:r>
        <w:rPr>
          <w:rFonts w:ascii="David" w:hAnsi="David" w:cs="David"/>
          <w:color w:val="000000"/>
          <w:sz w:val="24"/>
          <w:szCs w:val="24"/>
          <w:rtl/>
        </w:rPr>
        <w:t>, ולדעת רבא, מודה ר' אלעזר שאין למדים טומאה שקודם הזאה מטומאה שבשעת הזאה, אלא שהזאה שעל הנדה פעמים שהיא חשובה כנטמאת קודם הזאה, שאם היזה עליה פחות משיעור הזאה וחזר והיזה כדי להשלים שיעור הזאה - שלדעת ר' אלעזר הזאה צריכה שיעור, ומצטרפות הזאות זו לזו</w:t>
      </w:r>
      <w:r>
        <w:rPr>
          <w:rFonts w:ascii="David" w:hAnsi="David" w:cs="David"/>
          <w:color w:val="0000FF"/>
          <w:sz w:val="24"/>
          <w:szCs w:val="24"/>
          <w:vertAlign w:val="superscript"/>
          <w:rtl/>
        </w:rPr>
        <w:footnoteReference w:customMarkFollows="1" w:id="908"/>
        <w:t>908</w:t>
      </w:r>
      <w:r>
        <w:rPr>
          <w:rFonts w:ascii="David" w:hAnsi="David" w:cs="David"/>
          <w:color w:val="000000"/>
          <w:sz w:val="24"/>
          <w:szCs w:val="24"/>
          <w:rtl/>
        </w:rPr>
        <w:t xml:space="preserve"> - הרי היא טהורה, אף על פי שהזאה ראשונה כבר נטמאה מחמת הנדה, ולא היתה חשובה הזאה לטהר באותה שעה, ומכאן שמים שנטמאו מטהרים</w:t>
      </w:r>
      <w:r>
        <w:rPr>
          <w:rFonts w:ascii="David" w:hAnsi="David" w:cs="David"/>
          <w:color w:val="0000FF"/>
          <w:sz w:val="24"/>
          <w:szCs w:val="24"/>
          <w:vertAlign w:val="superscript"/>
          <w:rtl/>
        </w:rPr>
        <w:footnoteReference w:customMarkFollows="1" w:id="909"/>
        <w:t>909</w:t>
      </w:r>
      <w:r>
        <w:rPr>
          <w:rFonts w:ascii="David" w:hAnsi="David" w:cs="David"/>
          <w:color w:val="000000"/>
          <w:sz w:val="24"/>
          <w:szCs w:val="24"/>
          <w:rtl/>
        </w:rPr>
        <w:t>. ויש מן האחרונים שצידדו לומר, שאף לדעת ר' אלעזר, מי חטאת שנטמאו פסולים להזאה מדרבנן, מפני שעשו בהם מעלה</w:t>
      </w:r>
      <w:r>
        <w:rPr>
          <w:rFonts w:ascii="David" w:hAnsi="David" w:cs="David"/>
          <w:color w:val="0000FF"/>
          <w:sz w:val="24"/>
          <w:szCs w:val="24"/>
          <w:vertAlign w:val="superscript"/>
          <w:rtl/>
        </w:rPr>
        <w:footnoteReference w:customMarkFollows="1" w:id="910"/>
        <w:t>910</w:t>
      </w:r>
      <w:r>
        <w:rPr>
          <w:rFonts w:ascii="David" w:hAnsi="David" w:cs="David"/>
          <w:color w:val="000000"/>
          <w:sz w:val="24"/>
          <w:szCs w:val="24"/>
          <w:rtl/>
        </w:rPr>
        <w:t>, ויש שכתבו שלדעתו לכתחילה אסור להזות מהם, ובדיעבד הזאתם כשרה</w:t>
      </w:r>
      <w:r>
        <w:rPr>
          <w:rFonts w:ascii="David" w:hAnsi="David" w:cs="David"/>
          <w:color w:val="0000FF"/>
          <w:sz w:val="24"/>
          <w:szCs w:val="24"/>
          <w:vertAlign w:val="superscript"/>
          <w:rtl/>
        </w:rPr>
        <w:footnoteReference w:customMarkFollows="1" w:id="911"/>
        <w:t>911</w:t>
      </w:r>
      <w:r>
        <w:rPr>
          <w:rFonts w:ascii="David" w:hAnsi="David" w:cs="David"/>
          <w:color w:val="000000"/>
          <w:sz w:val="24"/>
          <w:szCs w:val="24"/>
          <w:rtl/>
        </w:rPr>
        <w:t xml:space="preserve">. </w:t>
      </w:r>
    </w:p>
    <w:p w14:paraId="31CED38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 ולדעת חכמים, מים שנטמאו פסולים להזאה</w:t>
      </w:r>
      <w:r>
        <w:rPr>
          <w:rFonts w:ascii="David" w:hAnsi="David" w:cs="David"/>
          <w:color w:val="0000FF"/>
          <w:sz w:val="24"/>
          <w:szCs w:val="24"/>
          <w:vertAlign w:val="superscript"/>
          <w:rtl/>
        </w:rPr>
        <w:footnoteReference w:customMarkFollows="1" w:id="912"/>
        <w:t>912</w:t>
      </w:r>
      <w:r>
        <w:rPr>
          <w:rFonts w:ascii="David" w:hAnsi="David" w:cs="David"/>
          <w:color w:val="000000"/>
          <w:sz w:val="24"/>
          <w:szCs w:val="24"/>
          <w:rtl/>
        </w:rPr>
        <w:t>, ואפילו נטמאו אחר ההזאה, קודם שהגיעו לדבר שהיזו עליו</w:t>
      </w:r>
      <w:r>
        <w:rPr>
          <w:rFonts w:ascii="David" w:hAnsi="David" w:cs="David"/>
          <w:color w:val="0000FF"/>
          <w:sz w:val="24"/>
          <w:szCs w:val="24"/>
          <w:vertAlign w:val="superscript"/>
          <w:rtl/>
        </w:rPr>
        <w:footnoteReference w:customMarkFollows="1" w:id="913"/>
        <w:t>913</w:t>
      </w:r>
      <w:r>
        <w:rPr>
          <w:rFonts w:ascii="David" w:hAnsi="David" w:cs="David"/>
          <w:color w:val="000000"/>
          <w:sz w:val="24"/>
          <w:szCs w:val="24"/>
          <w:rtl/>
        </w:rPr>
        <w:t xml:space="preserve"> - על מיני הטומאה המטמאים את מי החטאת, בין מן התורה ובין מדבריהם, עי' להלן</w:t>
      </w:r>
      <w:r>
        <w:rPr>
          <w:rFonts w:ascii="David" w:hAnsi="David" w:cs="David"/>
          <w:color w:val="0000FF"/>
          <w:sz w:val="24"/>
          <w:szCs w:val="24"/>
          <w:vertAlign w:val="superscript"/>
          <w:rtl/>
        </w:rPr>
        <w:footnoteReference w:customMarkFollows="1" w:id="914"/>
        <w:t>914</w:t>
      </w:r>
      <w:r>
        <w:rPr>
          <w:rFonts w:ascii="David" w:hAnsi="David" w:cs="David"/>
          <w:color w:val="000000"/>
          <w:sz w:val="24"/>
          <w:szCs w:val="24"/>
          <w:rtl/>
        </w:rPr>
        <w:t xml:space="preserve"> - לפי שכל מעשיה של הפרה צריך שיעשו במעלות טהרה, שהתורה קראתה חטאת</w:t>
      </w:r>
      <w:r>
        <w:rPr>
          <w:rFonts w:ascii="David" w:hAnsi="David" w:cs="David"/>
          <w:color w:val="0000FF"/>
          <w:sz w:val="24"/>
          <w:szCs w:val="24"/>
          <w:vertAlign w:val="superscript"/>
          <w:rtl/>
        </w:rPr>
        <w:footnoteReference w:customMarkFollows="1" w:id="915"/>
        <w:t>915</w:t>
      </w:r>
      <w:r>
        <w:rPr>
          <w:rFonts w:ascii="David" w:hAnsi="David" w:cs="David"/>
          <w:color w:val="000000"/>
          <w:sz w:val="24"/>
          <w:szCs w:val="24"/>
          <w:rtl/>
        </w:rPr>
        <w:t>, או משום שנאמר בה "איש טהור"</w:t>
      </w:r>
      <w:r>
        <w:rPr>
          <w:rFonts w:ascii="David" w:hAnsi="David" w:cs="David"/>
          <w:color w:val="0000FF"/>
          <w:sz w:val="24"/>
          <w:szCs w:val="24"/>
          <w:vertAlign w:val="superscript"/>
          <w:rtl/>
        </w:rPr>
        <w:footnoteReference w:customMarkFollows="1" w:id="916"/>
        <w:t>916</w:t>
      </w:r>
      <w:r>
        <w:rPr>
          <w:rFonts w:ascii="David" w:hAnsi="David" w:cs="David"/>
          <w:color w:val="000000"/>
          <w:sz w:val="24"/>
          <w:szCs w:val="24"/>
          <w:rtl/>
        </w:rPr>
        <w:t>. ואף לדעתם, נדה שנטמאה בטומאת מת, מזים עליה והיא טהורה מטומאת המת, אף על פי שהמים נטמאים</w:t>
      </w:r>
      <w:r>
        <w:rPr>
          <w:rFonts w:ascii="David" w:hAnsi="David" w:cs="David"/>
          <w:color w:val="0000FF"/>
          <w:sz w:val="24"/>
          <w:szCs w:val="24"/>
          <w:vertAlign w:val="superscript"/>
          <w:rtl/>
        </w:rPr>
        <w:footnoteReference w:customMarkFollows="1" w:id="917"/>
        <w:t>917</w:t>
      </w:r>
      <w:r>
        <w:rPr>
          <w:rFonts w:ascii="David" w:hAnsi="David" w:cs="David"/>
          <w:color w:val="000000"/>
          <w:sz w:val="24"/>
          <w:szCs w:val="24"/>
          <w:rtl/>
        </w:rPr>
        <w:t>, והוא הדין שאר טמאים, כגון זבים זבות ויולדות, שנטמאו בטומאת מת, מזים עליהם והם טהורים מטומאת המת, שנאמר: והזה הטהור על הטמא</w:t>
      </w:r>
      <w:r>
        <w:rPr>
          <w:rFonts w:ascii="David" w:hAnsi="David" w:cs="David"/>
          <w:color w:val="0000FF"/>
          <w:sz w:val="24"/>
          <w:szCs w:val="24"/>
          <w:vertAlign w:val="superscript"/>
          <w:rtl/>
        </w:rPr>
        <w:footnoteReference w:customMarkFollows="1" w:id="918"/>
        <w:t>918</w:t>
      </w:r>
      <w:r>
        <w:rPr>
          <w:rFonts w:ascii="David" w:hAnsi="David" w:cs="David"/>
          <w:color w:val="000000"/>
          <w:sz w:val="24"/>
          <w:szCs w:val="24"/>
          <w:rtl/>
        </w:rPr>
        <w:t>, מכאן שהזאה מועלת לו אף על פי שהוא טמא</w:t>
      </w:r>
      <w:r>
        <w:rPr>
          <w:rFonts w:ascii="David" w:hAnsi="David" w:cs="David"/>
          <w:color w:val="0000FF"/>
          <w:sz w:val="24"/>
          <w:szCs w:val="24"/>
          <w:vertAlign w:val="superscript"/>
          <w:rtl/>
        </w:rPr>
        <w:footnoteReference w:customMarkFollows="1" w:id="919"/>
        <w:t>919</w:t>
      </w:r>
      <w:r>
        <w:rPr>
          <w:rFonts w:ascii="David" w:hAnsi="David" w:cs="David"/>
          <w:color w:val="000000"/>
          <w:sz w:val="24"/>
          <w:szCs w:val="24"/>
          <w:rtl/>
        </w:rPr>
        <w:t>, ומשום שאין למדים טומאה שחלה על המים קודם הזאה מטומאה שחלה עליהם בשעת ההזאה</w:t>
      </w:r>
      <w:r>
        <w:rPr>
          <w:rFonts w:ascii="David" w:hAnsi="David" w:cs="David"/>
          <w:color w:val="0000FF"/>
          <w:sz w:val="24"/>
          <w:szCs w:val="24"/>
          <w:vertAlign w:val="superscript"/>
          <w:rtl/>
        </w:rPr>
        <w:footnoteReference w:customMarkFollows="1" w:id="920"/>
        <w:t>920</w:t>
      </w:r>
      <w:r>
        <w:rPr>
          <w:rFonts w:ascii="David" w:hAnsi="David" w:cs="David"/>
          <w:color w:val="000000"/>
          <w:sz w:val="24"/>
          <w:szCs w:val="24"/>
          <w:rtl/>
        </w:rPr>
        <w:t>, שבשעת ההזאה טומאת המים וההזאה באים כאחד, ולפיכך ההזאה כשרה</w:t>
      </w:r>
      <w:r>
        <w:rPr>
          <w:rFonts w:ascii="David" w:hAnsi="David" w:cs="David"/>
          <w:color w:val="0000FF"/>
          <w:sz w:val="24"/>
          <w:szCs w:val="24"/>
          <w:vertAlign w:val="superscript"/>
          <w:rtl/>
        </w:rPr>
        <w:footnoteReference w:customMarkFollows="1" w:id="921"/>
        <w:t>921</w:t>
      </w:r>
      <w:r>
        <w:rPr>
          <w:rFonts w:ascii="David" w:hAnsi="David" w:cs="David"/>
          <w:color w:val="000000"/>
          <w:sz w:val="24"/>
          <w:szCs w:val="24"/>
          <w:rtl/>
        </w:rPr>
        <w:t>, ולדעתם הזאה אינה צריכה שיעור, ולכך אין ללמוד שמים שנטמאו מטהרים, מאופן שהיזה שתי פעמים פחות משיעור</w:t>
      </w:r>
      <w:r>
        <w:rPr>
          <w:rFonts w:ascii="David" w:hAnsi="David" w:cs="David"/>
          <w:color w:val="0000FF"/>
          <w:sz w:val="24"/>
          <w:szCs w:val="24"/>
          <w:vertAlign w:val="superscript"/>
          <w:rtl/>
        </w:rPr>
        <w:footnoteReference w:customMarkFollows="1" w:id="922"/>
        <w:t>922</w:t>
      </w:r>
      <w:r>
        <w:rPr>
          <w:rFonts w:ascii="David" w:hAnsi="David" w:cs="David"/>
          <w:color w:val="000000"/>
          <w:sz w:val="24"/>
          <w:szCs w:val="24"/>
          <w:rtl/>
        </w:rPr>
        <w:t>, שההזאה הראשונה הועילה לטהר, ונמצאת הטומאה בשעת ההזאה</w:t>
      </w:r>
      <w:r>
        <w:rPr>
          <w:rFonts w:ascii="David" w:hAnsi="David" w:cs="David"/>
          <w:color w:val="0000FF"/>
          <w:sz w:val="24"/>
          <w:szCs w:val="24"/>
          <w:vertAlign w:val="superscript"/>
          <w:rtl/>
        </w:rPr>
        <w:footnoteReference w:customMarkFollows="1" w:id="923"/>
        <w:t>923</w:t>
      </w:r>
      <w:r>
        <w:rPr>
          <w:rFonts w:ascii="David" w:hAnsi="David" w:cs="David"/>
          <w:color w:val="000000"/>
          <w:sz w:val="24"/>
          <w:szCs w:val="24"/>
          <w:rtl/>
        </w:rPr>
        <w:t>. והלכה כחכמים, שמים מקודשים שנטמאו פסולים להזאה</w:t>
      </w:r>
      <w:r>
        <w:rPr>
          <w:rFonts w:ascii="David" w:hAnsi="David" w:cs="David"/>
          <w:color w:val="0000FF"/>
          <w:sz w:val="24"/>
          <w:szCs w:val="24"/>
          <w:vertAlign w:val="superscript"/>
          <w:rtl/>
        </w:rPr>
        <w:footnoteReference w:customMarkFollows="1" w:id="924"/>
        <w:t>924</w:t>
      </w:r>
      <w:r>
        <w:rPr>
          <w:rFonts w:ascii="David" w:hAnsi="David" w:cs="David"/>
          <w:color w:val="000000"/>
          <w:sz w:val="24"/>
          <w:szCs w:val="24"/>
          <w:rtl/>
        </w:rPr>
        <w:t xml:space="preserve">. </w:t>
      </w:r>
    </w:p>
    <w:p w14:paraId="6695DBE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[צלוחית שהניחה מגולה]</w:t>
      </w:r>
    </w:p>
    <w:p w14:paraId="1E21078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צלוחית של מי חטאת שהניחה מגולה ומצאה מכוסה, שנינו במשנה שהיא פסולה</w:t>
      </w:r>
      <w:r>
        <w:rPr>
          <w:rFonts w:ascii="David" w:hAnsi="David" w:cs="David"/>
          <w:color w:val="0000FF"/>
          <w:sz w:val="24"/>
          <w:szCs w:val="24"/>
          <w:vertAlign w:val="superscript"/>
          <w:rtl/>
        </w:rPr>
        <w:footnoteReference w:customMarkFollows="1" w:id="925"/>
        <w:t>925</w:t>
      </w:r>
      <w:r>
        <w:rPr>
          <w:rFonts w:ascii="David" w:hAnsi="David" w:cs="David"/>
          <w:color w:val="000000"/>
          <w:sz w:val="24"/>
          <w:szCs w:val="24"/>
          <w:rtl/>
        </w:rPr>
        <w:t>, שהרי ידוע שאדם הוא שכיסה אותה - שאין דרך שרצים לכסות</w:t>
      </w:r>
      <w:r>
        <w:rPr>
          <w:rFonts w:ascii="David" w:hAnsi="David" w:cs="David"/>
          <w:color w:val="0000FF"/>
          <w:sz w:val="24"/>
          <w:szCs w:val="24"/>
          <w:vertAlign w:val="superscript"/>
          <w:rtl/>
        </w:rPr>
        <w:footnoteReference w:customMarkFollows="1" w:id="926"/>
        <w:t>926</w:t>
      </w:r>
      <w:r>
        <w:rPr>
          <w:rFonts w:ascii="David" w:hAnsi="David" w:cs="David"/>
          <w:color w:val="000000"/>
          <w:sz w:val="24"/>
          <w:szCs w:val="24"/>
          <w:rtl/>
        </w:rPr>
        <w:t xml:space="preserve"> - וחוששים שמא טמא הוא, ופוסל אותם במגע*</w:t>
      </w:r>
      <w:r>
        <w:rPr>
          <w:rFonts w:ascii="David" w:hAnsi="David" w:cs="David"/>
          <w:color w:val="0000FF"/>
          <w:sz w:val="24"/>
          <w:szCs w:val="24"/>
          <w:vertAlign w:val="superscript"/>
          <w:rtl/>
        </w:rPr>
        <w:footnoteReference w:customMarkFollows="1" w:id="927"/>
        <w:t>927</w:t>
      </w:r>
      <w:r>
        <w:rPr>
          <w:rFonts w:ascii="David" w:hAnsi="David" w:cs="David"/>
          <w:color w:val="000000"/>
          <w:sz w:val="24"/>
          <w:szCs w:val="24"/>
          <w:rtl/>
        </w:rPr>
        <w:t xml:space="preserve"> - לדעת חכמים הסוברים שמים </w:t>
      </w:r>
    </w:p>
    <w:p w14:paraId="742B8AA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שנטמאו פסולים להזאה</w:t>
      </w:r>
      <w:r>
        <w:rPr>
          <w:rFonts w:ascii="David" w:hAnsi="David" w:cs="David"/>
          <w:color w:val="0000FF"/>
          <w:sz w:val="24"/>
          <w:szCs w:val="24"/>
          <w:vertAlign w:val="superscript"/>
          <w:rtl/>
        </w:rPr>
        <w:footnoteReference w:customMarkFollows="1" w:id="928"/>
        <w:t>928</w:t>
      </w:r>
      <w:r>
        <w:rPr>
          <w:rFonts w:ascii="David" w:hAnsi="David" w:cs="David"/>
          <w:color w:val="000000"/>
          <w:sz w:val="24"/>
          <w:szCs w:val="24"/>
          <w:rtl/>
        </w:rPr>
        <w:t xml:space="preserve"> - והטעם שחששו לכך, לפי שרוב בני אדם אינם טהורים לחטאת</w:t>
      </w:r>
      <w:r>
        <w:rPr>
          <w:rFonts w:ascii="David" w:hAnsi="David" w:cs="David"/>
          <w:color w:val="0000FF"/>
          <w:sz w:val="24"/>
          <w:szCs w:val="24"/>
          <w:vertAlign w:val="superscript"/>
          <w:rtl/>
        </w:rPr>
        <w:footnoteReference w:customMarkFollows="1" w:id="929"/>
        <w:t>929</w:t>
      </w:r>
      <w:r>
        <w:rPr>
          <w:rFonts w:ascii="David" w:hAnsi="David" w:cs="David"/>
          <w:color w:val="000000"/>
          <w:sz w:val="24"/>
          <w:szCs w:val="24"/>
          <w:rtl/>
        </w:rPr>
        <w:t>, ואין הפסול אלא מדרבנן, שמן התורה רוב בני אדם טהורים לחטאת, אלא משום מעלות שעשו לטהרת חטאת</w:t>
      </w:r>
      <w:r>
        <w:rPr>
          <w:rFonts w:ascii="David" w:hAnsi="David" w:cs="David"/>
          <w:color w:val="0000FF"/>
          <w:sz w:val="24"/>
          <w:szCs w:val="24"/>
          <w:vertAlign w:val="superscript"/>
          <w:rtl/>
        </w:rPr>
        <w:footnoteReference w:customMarkFollows="1" w:id="930"/>
        <w:t>930</w:t>
      </w:r>
      <w:r>
        <w:rPr>
          <w:rFonts w:ascii="David" w:hAnsi="David" w:cs="David"/>
          <w:color w:val="000000"/>
          <w:sz w:val="24"/>
          <w:szCs w:val="24"/>
          <w:rtl/>
        </w:rPr>
        <w:t>, אין הרוב טהורים לה</w:t>
      </w:r>
      <w:r>
        <w:rPr>
          <w:rFonts w:ascii="David" w:hAnsi="David" w:cs="David"/>
          <w:color w:val="0000FF"/>
          <w:sz w:val="24"/>
          <w:szCs w:val="24"/>
          <w:vertAlign w:val="superscript"/>
          <w:rtl/>
        </w:rPr>
        <w:footnoteReference w:customMarkFollows="1" w:id="931"/>
        <w:t>931</w:t>
      </w:r>
      <w:r>
        <w:rPr>
          <w:rFonts w:ascii="David" w:hAnsi="David" w:cs="David"/>
          <w:color w:val="000000"/>
          <w:sz w:val="24"/>
          <w:szCs w:val="24"/>
          <w:rtl/>
        </w:rPr>
        <w:t>, ויש סוברים שהוא ספק השקול</w:t>
      </w:r>
      <w:r>
        <w:rPr>
          <w:rFonts w:ascii="David" w:hAnsi="David" w:cs="David"/>
          <w:color w:val="0000FF"/>
          <w:sz w:val="24"/>
          <w:szCs w:val="24"/>
          <w:vertAlign w:val="superscript"/>
          <w:rtl/>
        </w:rPr>
        <w:footnoteReference w:customMarkFollows="1" w:id="932"/>
        <w:t>932</w:t>
      </w:r>
      <w:r>
        <w:rPr>
          <w:rFonts w:ascii="David" w:hAnsi="David" w:cs="David"/>
          <w:color w:val="000000"/>
          <w:sz w:val="24"/>
          <w:szCs w:val="24"/>
          <w:rtl/>
        </w:rPr>
        <w:t>, ויש מן הראשונים שכתבו טעם אחר שהמים נפסלים מחמת ספק טומאה, שגזרו חכמים טומאה על כלים הנמצאים, שמא נטמאו באדם טמא, ולפיכך אף הצלוחית עצמה טמאה</w:t>
      </w:r>
      <w:r>
        <w:rPr>
          <w:rFonts w:ascii="David" w:hAnsi="David" w:cs="David"/>
          <w:color w:val="0000FF"/>
          <w:sz w:val="24"/>
          <w:szCs w:val="24"/>
          <w:vertAlign w:val="superscript"/>
          <w:rtl/>
        </w:rPr>
        <w:footnoteReference w:customMarkFollows="1" w:id="933"/>
        <w:t>933</w:t>
      </w:r>
      <w:r>
        <w:rPr>
          <w:rFonts w:ascii="David" w:hAnsi="David" w:cs="David"/>
          <w:color w:val="000000"/>
          <w:sz w:val="24"/>
          <w:szCs w:val="24"/>
          <w:rtl/>
        </w:rPr>
        <w:t>. על כך שדין זה אמור אף בצלוחית שיש בה מים שאינם מקודשים, עי' להלן</w:t>
      </w:r>
      <w:r>
        <w:rPr>
          <w:rFonts w:ascii="David" w:hAnsi="David" w:cs="David"/>
          <w:color w:val="0000FF"/>
          <w:sz w:val="24"/>
          <w:szCs w:val="24"/>
          <w:vertAlign w:val="superscript"/>
          <w:rtl/>
        </w:rPr>
        <w:footnoteReference w:customMarkFollows="1" w:id="934"/>
        <w:t>934</w:t>
      </w:r>
      <w:r>
        <w:rPr>
          <w:rFonts w:ascii="David" w:hAnsi="David" w:cs="David"/>
          <w:color w:val="000000"/>
          <w:sz w:val="24"/>
          <w:szCs w:val="24"/>
          <w:rtl/>
        </w:rPr>
        <w:t>. אבל הניחה מגולה ומצאה מגולה, אין חוששים שמא נגע בה טמא</w:t>
      </w:r>
      <w:r>
        <w:rPr>
          <w:rFonts w:ascii="David" w:hAnsi="David" w:cs="David"/>
          <w:color w:val="0000FF"/>
          <w:sz w:val="24"/>
          <w:szCs w:val="24"/>
          <w:vertAlign w:val="superscript"/>
          <w:rtl/>
        </w:rPr>
        <w:footnoteReference w:customMarkFollows="1" w:id="935"/>
        <w:t>935</w:t>
      </w:r>
      <w:r>
        <w:rPr>
          <w:rFonts w:ascii="David" w:hAnsi="David" w:cs="David"/>
          <w:color w:val="000000"/>
          <w:sz w:val="24"/>
          <w:szCs w:val="24"/>
          <w:rtl/>
        </w:rPr>
        <w:t>, ואף בהניחה מכוסה ומצאה מגולה אין חוששים שמא גילה אותה טמא</w:t>
      </w:r>
      <w:r>
        <w:rPr>
          <w:rFonts w:ascii="David" w:hAnsi="David" w:cs="David"/>
          <w:color w:val="0000FF"/>
          <w:sz w:val="24"/>
          <w:szCs w:val="24"/>
          <w:vertAlign w:val="superscript"/>
          <w:rtl/>
        </w:rPr>
        <w:footnoteReference w:customMarkFollows="1" w:id="936"/>
        <w:t>936</w:t>
      </w:r>
      <w:r>
        <w:rPr>
          <w:rFonts w:ascii="David" w:hAnsi="David" w:cs="David"/>
          <w:color w:val="000000"/>
          <w:sz w:val="24"/>
          <w:szCs w:val="24"/>
          <w:rtl/>
        </w:rPr>
        <w:t>, שדרכם של שרצים לגלות</w:t>
      </w:r>
      <w:r>
        <w:rPr>
          <w:rFonts w:ascii="David" w:hAnsi="David" w:cs="David"/>
          <w:color w:val="0000FF"/>
          <w:sz w:val="24"/>
          <w:szCs w:val="24"/>
          <w:vertAlign w:val="superscript"/>
          <w:rtl/>
        </w:rPr>
        <w:footnoteReference w:customMarkFollows="1" w:id="937"/>
        <w:t>937</w:t>
      </w:r>
      <w:r>
        <w:rPr>
          <w:rFonts w:ascii="David" w:hAnsi="David" w:cs="David"/>
          <w:color w:val="000000"/>
          <w:sz w:val="24"/>
          <w:szCs w:val="24"/>
          <w:rtl/>
        </w:rPr>
        <w:t>, וכיון שיש לתלות בשרצים או באדם טהור, אין תולים באדם טמא, שהולכים אחר הרוב</w:t>
      </w:r>
      <w:r>
        <w:rPr>
          <w:rFonts w:ascii="David" w:hAnsi="David" w:cs="David"/>
          <w:color w:val="0000FF"/>
          <w:sz w:val="24"/>
          <w:szCs w:val="24"/>
          <w:vertAlign w:val="superscript"/>
          <w:rtl/>
        </w:rPr>
        <w:footnoteReference w:customMarkFollows="1" w:id="938"/>
        <w:t>938</w:t>
      </w:r>
      <w:r>
        <w:rPr>
          <w:rFonts w:ascii="David" w:hAnsi="David" w:cs="David"/>
          <w:color w:val="000000"/>
          <w:sz w:val="24"/>
          <w:szCs w:val="24"/>
          <w:rtl/>
        </w:rPr>
        <w:t>, או שאין דרכם של בני אדם לגלות</w:t>
      </w:r>
      <w:r>
        <w:rPr>
          <w:rFonts w:ascii="David" w:hAnsi="David" w:cs="David"/>
          <w:color w:val="0000FF"/>
          <w:sz w:val="24"/>
          <w:szCs w:val="24"/>
          <w:vertAlign w:val="superscript"/>
          <w:rtl/>
        </w:rPr>
        <w:footnoteReference w:customMarkFollows="1" w:id="939"/>
        <w:t>939</w:t>
      </w:r>
      <w:r>
        <w:rPr>
          <w:rFonts w:ascii="David" w:hAnsi="David" w:cs="David"/>
          <w:color w:val="000000"/>
          <w:sz w:val="24"/>
          <w:szCs w:val="24"/>
          <w:rtl/>
        </w:rPr>
        <w:t>, על כך שחוששים שמא שתתה חולדה ממנה, עי' לעיל: פסולם על ידי תערובת</w:t>
      </w:r>
      <w:r>
        <w:rPr>
          <w:rFonts w:ascii="David" w:hAnsi="David" w:cs="David"/>
          <w:color w:val="0000FF"/>
          <w:sz w:val="24"/>
          <w:szCs w:val="24"/>
          <w:vertAlign w:val="superscript"/>
          <w:rtl/>
        </w:rPr>
        <w:footnoteReference w:customMarkFollows="1" w:id="940"/>
        <w:t>940</w:t>
      </w:r>
      <w:r>
        <w:rPr>
          <w:rFonts w:ascii="David" w:hAnsi="David" w:cs="David"/>
          <w:color w:val="000000"/>
          <w:sz w:val="24"/>
          <w:szCs w:val="24"/>
          <w:rtl/>
        </w:rPr>
        <w:t xml:space="preserve">. </w:t>
      </w:r>
    </w:p>
    <w:p w14:paraId="45723D9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[קרויה שנטמאה]</w:t>
      </w:r>
    </w:p>
    <w:p w14:paraId="4AB1DAD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קרויה - דלעת שעשאוה חלולה כדי לשאוב בה, והיא מתרככת ודרכה לבלוע ולפלוט</w:t>
      </w:r>
      <w:r>
        <w:rPr>
          <w:rFonts w:ascii="David" w:hAnsi="David" w:cs="David"/>
          <w:color w:val="0000FF"/>
          <w:sz w:val="24"/>
          <w:szCs w:val="24"/>
          <w:vertAlign w:val="superscript"/>
          <w:rtl/>
        </w:rPr>
        <w:footnoteReference w:customMarkFollows="1" w:id="941"/>
        <w:t>941</w:t>
      </w:r>
      <w:r>
        <w:rPr>
          <w:rFonts w:ascii="David" w:hAnsi="David" w:cs="David"/>
          <w:color w:val="000000"/>
          <w:sz w:val="24"/>
          <w:szCs w:val="24"/>
          <w:rtl/>
        </w:rPr>
        <w:t xml:space="preserve"> - שנטמאה והטבילוה, אין מקדשים בה</w:t>
      </w:r>
      <w:r>
        <w:rPr>
          <w:rFonts w:ascii="David" w:hAnsi="David" w:cs="David"/>
          <w:color w:val="0000FF"/>
          <w:sz w:val="24"/>
          <w:szCs w:val="24"/>
          <w:vertAlign w:val="superscript"/>
          <w:rtl/>
        </w:rPr>
        <w:footnoteReference w:customMarkFollows="1" w:id="942"/>
        <w:t>942</w:t>
      </w:r>
      <w:r>
        <w:rPr>
          <w:rFonts w:ascii="David" w:hAnsi="David" w:cs="David"/>
          <w:color w:val="000000"/>
          <w:sz w:val="24"/>
          <w:szCs w:val="24"/>
          <w:rtl/>
        </w:rPr>
        <w:t>, ואף אם הטבילוה במים הראויים לקידוש</w:t>
      </w:r>
      <w:r>
        <w:rPr>
          <w:rFonts w:ascii="David" w:hAnsi="David" w:cs="David"/>
          <w:color w:val="0000FF"/>
          <w:sz w:val="24"/>
          <w:szCs w:val="24"/>
          <w:vertAlign w:val="superscript"/>
          <w:rtl/>
        </w:rPr>
        <w:footnoteReference w:customMarkFollows="1" w:id="943"/>
        <w:t>943</w:t>
      </w:r>
      <w:r>
        <w:rPr>
          <w:rFonts w:ascii="David" w:hAnsi="David" w:cs="David"/>
          <w:color w:val="000000"/>
          <w:sz w:val="24"/>
          <w:szCs w:val="24"/>
          <w:rtl/>
        </w:rPr>
        <w:t>, שבשעה שהיתה טמאה נבלעו בה משקים שנטמאו מחמתה</w:t>
      </w:r>
      <w:r>
        <w:rPr>
          <w:rFonts w:ascii="David" w:hAnsi="David" w:cs="David"/>
          <w:color w:val="0000FF"/>
          <w:sz w:val="24"/>
          <w:szCs w:val="24"/>
          <w:vertAlign w:val="superscript"/>
          <w:rtl/>
        </w:rPr>
        <w:footnoteReference w:customMarkFollows="1" w:id="944"/>
        <w:t>944</w:t>
      </w:r>
      <w:r>
        <w:rPr>
          <w:rFonts w:ascii="David" w:hAnsi="David" w:cs="David"/>
          <w:color w:val="000000"/>
          <w:sz w:val="24"/>
          <w:szCs w:val="24"/>
          <w:rtl/>
        </w:rPr>
        <w:t>, וחוששים שמא תפלוט אתהמשקים הטמאים אל תוך מי החטאת</w:t>
      </w:r>
      <w:r>
        <w:rPr>
          <w:rFonts w:ascii="David" w:hAnsi="David" w:cs="David"/>
          <w:color w:val="0000FF"/>
          <w:sz w:val="24"/>
          <w:szCs w:val="24"/>
          <w:vertAlign w:val="superscript"/>
          <w:rtl/>
        </w:rPr>
        <w:footnoteReference w:customMarkFollows="1" w:id="945"/>
        <w:t>945</w:t>
      </w:r>
      <w:r>
        <w:rPr>
          <w:rFonts w:ascii="David" w:hAnsi="David" w:cs="David"/>
          <w:color w:val="000000"/>
          <w:sz w:val="24"/>
          <w:szCs w:val="24"/>
          <w:rtl/>
        </w:rPr>
        <w:t>, ויחזרו ויטמאו את המים</w:t>
      </w:r>
      <w:r>
        <w:rPr>
          <w:rFonts w:ascii="David" w:hAnsi="David" w:cs="David"/>
          <w:color w:val="0000FF"/>
          <w:sz w:val="24"/>
          <w:szCs w:val="24"/>
          <w:vertAlign w:val="superscript"/>
          <w:rtl/>
        </w:rPr>
        <w:footnoteReference w:customMarkFollows="1" w:id="946"/>
        <w:t>946</w:t>
      </w:r>
      <w:r>
        <w:rPr>
          <w:rFonts w:ascii="David" w:hAnsi="David" w:cs="David"/>
          <w:color w:val="000000"/>
          <w:sz w:val="24"/>
          <w:szCs w:val="24"/>
          <w:rtl/>
        </w:rPr>
        <w:t>, בטומאת משקים המטמאים מדבריהם</w:t>
      </w:r>
      <w:r>
        <w:rPr>
          <w:rFonts w:ascii="David" w:hAnsi="David" w:cs="David"/>
          <w:color w:val="0000FF"/>
          <w:sz w:val="24"/>
          <w:szCs w:val="24"/>
          <w:vertAlign w:val="superscript"/>
          <w:rtl/>
        </w:rPr>
        <w:footnoteReference w:customMarkFollows="1" w:id="947"/>
        <w:t>947</w:t>
      </w:r>
      <w:r>
        <w:rPr>
          <w:rFonts w:ascii="David" w:hAnsi="David" w:cs="David"/>
          <w:color w:val="000000"/>
          <w:sz w:val="24"/>
          <w:szCs w:val="24"/>
          <w:rtl/>
        </w:rPr>
        <w:t>, והוא הדין שאין ממלאים בה מי חטאת</w:t>
      </w:r>
      <w:r>
        <w:rPr>
          <w:rFonts w:ascii="David" w:hAnsi="David" w:cs="David"/>
          <w:color w:val="0000FF"/>
          <w:sz w:val="24"/>
          <w:szCs w:val="24"/>
          <w:vertAlign w:val="superscript"/>
          <w:rtl/>
        </w:rPr>
        <w:footnoteReference w:customMarkFollows="1" w:id="948"/>
        <w:t>948</w:t>
      </w:r>
      <w:r>
        <w:rPr>
          <w:rFonts w:ascii="David" w:hAnsi="David" w:cs="David"/>
          <w:color w:val="000000"/>
          <w:sz w:val="24"/>
          <w:szCs w:val="24"/>
          <w:rtl/>
        </w:rPr>
        <w:t>. ואפילו לסוברים בדעת חכמים שאין חוששים לפליטת הקרויה אף כשהטבילוה במים שאין ראויים לחטאת</w:t>
      </w:r>
      <w:r>
        <w:rPr>
          <w:rFonts w:ascii="David" w:hAnsi="David" w:cs="David"/>
          <w:color w:val="0000FF"/>
          <w:sz w:val="24"/>
          <w:szCs w:val="24"/>
          <w:vertAlign w:val="superscript"/>
          <w:rtl/>
        </w:rPr>
        <w:footnoteReference w:customMarkFollows="1" w:id="949"/>
        <w:t>949</w:t>
      </w:r>
      <w:r>
        <w:rPr>
          <w:rFonts w:ascii="David" w:hAnsi="David" w:cs="David"/>
          <w:color w:val="000000"/>
          <w:sz w:val="24"/>
          <w:szCs w:val="24"/>
          <w:rtl/>
        </w:rPr>
        <w:t>, במים טמאים החמירו יותר ממים שאין ראויים</w:t>
      </w:r>
      <w:r>
        <w:rPr>
          <w:rFonts w:ascii="David" w:hAnsi="David" w:cs="David"/>
          <w:color w:val="0000FF"/>
          <w:sz w:val="24"/>
          <w:szCs w:val="24"/>
          <w:vertAlign w:val="superscript"/>
          <w:rtl/>
        </w:rPr>
        <w:footnoteReference w:customMarkFollows="1" w:id="950"/>
        <w:t>950</w:t>
      </w:r>
      <w:r>
        <w:rPr>
          <w:rFonts w:ascii="David" w:hAnsi="David" w:cs="David"/>
          <w:color w:val="000000"/>
          <w:sz w:val="24"/>
          <w:szCs w:val="24"/>
          <w:rtl/>
        </w:rPr>
        <w:t>, על טעם הדבר עי' לעיל: פסולם על ידי תערובת</w:t>
      </w:r>
      <w:r>
        <w:rPr>
          <w:rFonts w:ascii="David" w:hAnsi="David" w:cs="David"/>
          <w:color w:val="0000FF"/>
          <w:sz w:val="24"/>
          <w:szCs w:val="24"/>
          <w:vertAlign w:val="superscript"/>
          <w:rtl/>
        </w:rPr>
        <w:footnoteReference w:customMarkFollows="1" w:id="951"/>
        <w:t>951</w:t>
      </w:r>
      <w:r>
        <w:rPr>
          <w:rFonts w:ascii="David" w:hAnsi="David" w:cs="David"/>
          <w:color w:val="000000"/>
          <w:sz w:val="24"/>
          <w:szCs w:val="24"/>
          <w:rtl/>
        </w:rPr>
        <w:t xml:space="preserve">. </w:t>
      </w:r>
    </w:p>
    <w:p w14:paraId="2425562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[שנטמאו בטומאת מת]</w:t>
      </w:r>
    </w:p>
    <w:p w14:paraId="4766ED2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מקודשים שנטמאו בטומאת-מת*, יש מן הראשונים שכתבו, שהם פסולים להזאה אף לדעת ר' אלעזר הסובר שמים שנטמאו מטהרים</w:t>
      </w:r>
      <w:r>
        <w:rPr>
          <w:rFonts w:ascii="David" w:hAnsi="David" w:cs="David"/>
          <w:color w:val="0000FF"/>
          <w:sz w:val="24"/>
          <w:szCs w:val="24"/>
          <w:vertAlign w:val="superscript"/>
          <w:rtl/>
        </w:rPr>
        <w:footnoteReference w:customMarkFollows="1" w:id="952"/>
        <w:t>952</w:t>
      </w:r>
      <w:r>
        <w:rPr>
          <w:rFonts w:ascii="David" w:hAnsi="David" w:cs="David"/>
          <w:color w:val="000000"/>
          <w:sz w:val="24"/>
          <w:szCs w:val="24"/>
          <w:rtl/>
        </w:rPr>
        <w:t>, שהואיל והם באים לטהרו מטומאת מת, צריך שיהיו טהורים מטומאה זו</w:t>
      </w:r>
      <w:r>
        <w:rPr>
          <w:rFonts w:ascii="David" w:hAnsi="David" w:cs="David"/>
          <w:color w:val="0000FF"/>
          <w:sz w:val="24"/>
          <w:szCs w:val="24"/>
          <w:vertAlign w:val="superscript"/>
          <w:rtl/>
        </w:rPr>
        <w:footnoteReference w:customMarkFollows="1" w:id="953"/>
        <w:t>953</w:t>
      </w:r>
      <w:r>
        <w:rPr>
          <w:rFonts w:ascii="David" w:hAnsi="David" w:cs="David"/>
          <w:color w:val="000000"/>
          <w:sz w:val="24"/>
          <w:szCs w:val="24"/>
          <w:rtl/>
        </w:rPr>
        <w:t>. ובטעם שאין למדים מהזאה על טמא מת המועילה לטהר אותו</w:t>
      </w:r>
      <w:r>
        <w:rPr>
          <w:rFonts w:ascii="David" w:hAnsi="David" w:cs="David"/>
          <w:color w:val="0000FF"/>
          <w:sz w:val="24"/>
          <w:szCs w:val="24"/>
          <w:vertAlign w:val="superscript"/>
          <w:rtl/>
        </w:rPr>
        <w:footnoteReference w:customMarkFollows="1" w:id="954"/>
        <w:t>954</w:t>
      </w:r>
      <w:r>
        <w:rPr>
          <w:rFonts w:ascii="David" w:hAnsi="David" w:cs="David"/>
          <w:color w:val="000000"/>
          <w:sz w:val="24"/>
          <w:szCs w:val="24"/>
          <w:rtl/>
        </w:rPr>
        <w:t xml:space="preserve"> - ואין המים נפסלים מחמת מגע* בטומאת מת - שאף כל מים הנטמאים בטומאת מת קודם הזאה מטהרים, כשם שלמד ר' אלעזר שמים שנטמאו בשאר טומאות מטהרים, מכיון שמועילה הזאה על שאר טמאים</w:t>
      </w:r>
      <w:r>
        <w:rPr>
          <w:rFonts w:ascii="David" w:hAnsi="David" w:cs="David"/>
          <w:color w:val="0000FF"/>
          <w:sz w:val="24"/>
          <w:szCs w:val="24"/>
          <w:vertAlign w:val="superscript"/>
          <w:rtl/>
        </w:rPr>
        <w:footnoteReference w:customMarkFollows="1" w:id="955"/>
        <w:t>955</w:t>
      </w:r>
      <w:r>
        <w:rPr>
          <w:rFonts w:ascii="David" w:hAnsi="David" w:cs="David"/>
          <w:color w:val="000000"/>
          <w:sz w:val="24"/>
          <w:szCs w:val="24"/>
          <w:rtl/>
        </w:rPr>
        <w:t>, פירשו אחרונים, ששונה הזאה על טמא מת, הואיל ומצותה בכך, ואינה מתקיימת בלא טומאת המת בשעת הזאה, מה שאין כן טומאה שקודם הזאה, שאפשר בלעדיה</w:t>
      </w:r>
      <w:r>
        <w:rPr>
          <w:rFonts w:ascii="David" w:hAnsi="David" w:cs="David"/>
          <w:color w:val="0000FF"/>
          <w:sz w:val="24"/>
          <w:szCs w:val="24"/>
          <w:vertAlign w:val="superscript"/>
          <w:rtl/>
        </w:rPr>
        <w:footnoteReference w:customMarkFollows="1" w:id="956"/>
        <w:t>956</w:t>
      </w:r>
      <w:r>
        <w:rPr>
          <w:rFonts w:ascii="David" w:hAnsi="David" w:cs="David"/>
          <w:color w:val="000000"/>
          <w:sz w:val="24"/>
          <w:szCs w:val="24"/>
          <w:rtl/>
        </w:rPr>
        <w:t>, ולדעת רבא הסובר שר' אלעזר למד מן המזה שתי הזאות המצטרפות לשיעור, שהזאתו הראשונה מועילה אף קודם שעת הטהרה</w:t>
      </w:r>
      <w:r>
        <w:rPr>
          <w:rFonts w:ascii="David" w:hAnsi="David" w:cs="David"/>
          <w:color w:val="0000FF"/>
          <w:sz w:val="24"/>
          <w:szCs w:val="24"/>
          <w:vertAlign w:val="superscript"/>
          <w:rtl/>
        </w:rPr>
        <w:footnoteReference w:customMarkFollows="1" w:id="957"/>
        <w:t>957</w:t>
      </w:r>
      <w:r>
        <w:rPr>
          <w:rFonts w:ascii="David" w:hAnsi="David" w:cs="David"/>
          <w:color w:val="000000"/>
          <w:sz w:val="24"/>
          <w:szCs w:val="24"/>
          <w:rtl/>
        </w:rPr>
        <w:t>, שאין מצות ההזאה בכך, שהרי יכול להזות פעם אחת כשיעור, יש מן האחרונים שפירשו, שהואיל והזאה זו מועילה לטהר מטומאת מת, אין המים נטמאים מחמתה</w:t>
      </w:r>
      <w:r>
        <w:rPr>
          <w:rFonts w:ascii="David" w:hAnsi="David" w:cs="David"/>
          <w:color w:val="0000FF"/>
          <w:sz w:val="24"/>
          <w:szCs w:val="24"/>
          <w:vertAlign w:val="superscript"/>
          <w:rtl/>
        </w:rPr>
        <w:footnoteReference w:customMarkFollows="1" w:id="958"/>
        <w:t>958</w:t>
      </w:r>
      <w:r>
        <w:rPr>
          <w:rFonts w:ascii="David" w:hAnsi="David" w:cs="David"/>
          <w:color w:val="000000"/>
          <w:sz w:val="24"/>
          <w:szCs w:val="24"/>
          <w:rtl/>
        </w:rPr>
        <w:t>. ויש מן הראשונים והאחרונים חולקים על כל זה וסוברים, שלדעת ר' אלעזר דין טומאת מת כדין שאר טומאות, ואינה פוסלת את המים</w:t>
      </w:r>
      <w:r>
        <w:rPr>
          <w:rFonts w:ascii="David" w:hAnsi="David" w:cs="David"/>
          <w:color w:val="0000FF"/>
          <w:sz w:val="24"/>
          <w:szCs w:val="24"/>
          <w:vertAlign w:val="superscript"/>
          <w:rtl/>
        </w:rPr>
        <w:footnoteReference w:customMarkFollows="1" w:id="959"/>
        <w:t>959</w:t>
      </w:r>
      <w:r>
        <w:rPr>
          <w:rFonts w:ascii="David" w:hAnsi="David" w:cs="David"/>
          <w:color w:val="000000"/>
          <w:sz w:val="24"/>
          <w:szCs w:val="24"/>
          <w:rtl/>
        </w:rPr>
        <w:t xml:space="preserve">. </w:t>
      </w:r>
    </w:p>
    <w:p w14:paraId="52A5135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[נטמאו קודם הקידוש]</w:t>
      </w:r>
    </w:p>
    <w:p w14:paraId="21E2C09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שנטמאו קודם שנתקדשו, פסולים לקידוש</w:t>
      </w:r>
      <w:r>
        <w:rPr>
          <w:rFonts w:ascii="David" w:hAnsi="David" w:cs="David"/>
          <w:color w:val="0000FF"/>
          <w:sz w:val="24"/>
          <w:szCs w:val="24"/>
          <w:vertAlign w:val="superscript"/>
          <w:rtl/>
        </w:rPr>
        <w:footnoteReference w:customMarkFollows="1" w:id="960"/>
        <w:t>960</w:t>
      </w:r>
      <w:r>
        <w:rPr>
          <w:rFonts w:ascii="David" w:hAnsi="David" w:cs="David"/>
          <w:color w:val="000000"/>
          <w:sz w:val="24"/>
          <w:szCs w:val="24"/>
          <w:rtl/>
        </w:rPr>
        <w:t>, שהרי כל מעשיה של פרה במעלות טהרה הם, שהתורה קראתה "חטאת"</w:t>
      </w:r>
      <w:r>
        <w:rPr>
          <w:rFonts w:ascii="David" w:hAnsi="David" w:cs="David"/>
          <w:color w:val="0000FF"/>
          <w:sz w:val="24"/>
          <w:szCs w:val="24"/>
          <w:vertAlign w:val="superscript"/>
          <w:rtl/>
        </w:rPr>
        <w:footnoteReference w:customMarkFollows="1" w:id="961"/>
        <w:t>961</w:t>
      </w:r>
      <w:r>
        <w:rPr>
          <w:rFonts w:ascii="David" w:hAnsi="David" w:cs="David"/>
          <w:color w:val="000000"/>
          <w:sz w:val="24"/>
          <w:szCs w:val="24"/>
          <w:rtl/>
        </w:rPr>
        <w:t>, או מפני שהאפר נטמא מחמת המים בשעת קידוש, ואפר טמא פסול לקידוש</w:t>
      </w:r>
      <w:r>
        <w:rPr>
          <w:rFonts w:ascii="David" w:hAnsi="David" w:cs="David"/>
          <w:color w:val="0000FF"/>
          <w:sz w:val="24"/>
          <w:szCs w:val="24"/>
          <w:vertAlign w:val="superscript"/>
          <w:rtl/>
        </w:rPr>
        <w:footnoteReference w:customMarkFollows="1" w:id="962"/>
        <w:t>962</w:t>
      </w:r>
      <w:r>
        <w:rPr>
          <w:rFonts w:ascii="David" w:hAnsi="David" w:cs="David"/>
          <w:color w:val="000000"/>
          <w:sz w:val="24"/>
          <w:szCs w:val="24"/>
          <w:rtl/>
        </w:rPr>
        <w:t>, ואפילו צלוחית של מים שלא נתקדשו, שהניחה מגולה ומצאה מכוסה, כתבו ראשונים שהיא פסולה, שמא נגע בה אדם טמא וטימא את המים, ונפסלו</w:t>
      </w:r>
      <w:r>
        <w:rPr>
          <w:rFonts w:ascii="David" w:hAnsi="David" w:cs="David"/>
          <w:color w:val="0000FF"/>
          <w:sz w:val="24"/>
          <w:szCs w:val="24"/>
          <w:vertAlign w:val="superscript"/>
          <w:rtl/>
        </w:rPr>
        <w:footnoteReference w:customMarkFollows="1" w:id="963"/>
        <w:t>963</w:t>
      </w:r>
      <w:r>
        <w:rPr>
          <w:rFonts w:ascii="David" w:hAnsi="David" w:cs="David"/>
          <w:color w:val="000000"/>
          <w:sz w:val="24"/>
          <w:szCs w:val="24"/>
          <w:rtl/>
        </w:rPr>
        <w:t>. ואפילו לדעת ר' אלעזר הסובר שמי חטאת שנטמאו מטהרים בהם</w:t>
      </w:r>
      <w:r>
        <w:rPr>
          <w:rFonts w:ascii="David" w:hAnsi="David" w:cs="David"/>
          <w:color w:val="0000FF"/>
          <w:sz w:val="24"/>
          <w:szCs w:val="24"/>
          <w:vertAlign w:val="superscript"/>
          <w:rtl/>
        </w:rPr>
        <w:footnoteReference w:customMarkFollows="1" w:id="964"/>
        <w:t>964</w:t>
      </w:r>
      <w:r>
        <w:rPr>
          <w:rFonts w:ascii="David" w:hAnsi="David" w:cs="David"/>
          <w:color w:val="000000"/>
          <w:sz w:val="24"/>
          <w:szCs w:val="24"/>
          <w:rtl/>
        </w:rPr>
        <w:t xml:space="preserve">, </w:t>
      </w:r>
    </w:p>
    <w:p w14:paraId="130393F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כתבו ראשונים ואחרונים שהיינו דוקא מים שכבר נתקדשו, אבל מים שלא נתקדשו נפסלים מחמת טומאה</w:t>
      </w:r>
      <w:r>
        <w:rPr>
          <w:rFonts w:ascii="David" w:hAnsi="David" w:cs="David"/>
          <w:color w:val="0000FF"/>
          <w:sz w:val="24"/>
          <w:szCs w:val="24"/>
          <w:vertAlign w:val="superscript"/>
          <w:rtl/>
        </w:rPr>
        <w:footnoteReference w:customMarkFollows="1" w:id="965"/>
        <w:t>965</w:t>
      </w:r>
      <w:r>
        <w:rPr>
          <w:rFonts w:ascii="David" w:hAnsi="David" w:cs="David"/>
          <w:color w:val="000000"/>
          <w:sz w:val="24"/>
          <w:szCs w:val="24"/>
          <w:rtl/>
        </w:rPr>
        <w:t>, שלא למד ר' אלעזר שמים שנטמאו מטהרים אלא מנדה שמזים עליה והיא טהורה</w:t>
      </w:r>
      <w:r>
        <w:rPr>
          <w:rFonts w:ascii="David" w:hAnsi="David" w:cs="David"/>
          <w:color w:val="0000FF"/>
          <w:sz w:val="24"/>
          <w:szCs w:val="24"/>
          <w:vertAlign w:val="superscript"/>
          <w:rtl/>
        </w:rPr>
        <w:footnoteReference w:customMarkFollows="1" w:id="966"/>
        <w:t>966</w:t>
      </w:r>
      <w:r>
        <w:rPr>
          <w:rFonts w:ascii="David" w:hAnsi="David" w:cs="David"/>
          <w:color w:val="000000"/>
          <w:sz w:val="24"/>
          <w:szCs w:val="24"/>
          <w:rtl/>
        </w:rPr>
        <w:t>, ומי הזאה מקודשים הם</w:t>
      </w:r>
      <w:r>
        <w:rPr>
          <w:rFonts w:ascii="David" w:hAnsi="David" w:cs="David"/>
          <w:color w:val="0000FF"/>
          <w:sz w:val="24"/>
          <w:szCs w:val="24"/>
          <w:vertAlign w:val="superscript"/>
          <w:rtl/>
        </w:rPr>
        <w:footnoteReference w:customMarkFollows="1" w:id="967"/>
        <w:t>967</w:t>
      </w:r>
      <w:r>
        <w:rPr>
          <w:rFonts w:ascii="David" w:hAnsi="David" w:cs="David"/>
          <w:color w:val="000000"/>
          <w:sz w:val="24"/>
          <w:szCs w:val="24"/>
          <w:rtl/>
        </w:rPr>
        <w:t>, ויש מן האחרונים שכתבו שלדעת ר' אלעזר אף מים שלא נתקדשו אינם נפסלים מחמת הטומאה</w:t>
      </w:r>
      <w:r>
        <w:rPr>
          <w:rFonts w:ascii="David" w:hAnsi="David" w:cs="David"/>
          <w:color w:val="0000FF"/>
          <w:sz w:val="24"/>
          <w:szCs w:val="24"/>
          <w:vertAlign w:val="superscript"/>
          <w:rtl/>
        </w:rPr>
        <w:footnoteReference w:customMarkFollows="1" w:id="968"/>
        <w:t>968</w:t>
      </w:r>
      <w:r>
        <w:rPr>
          <w:rFonts w:ascii="David" w:hAnsi="David" w:cs="David"/>
          <w:color w:val="000000"/>
          <w:sz w:val="24"/>
          <w:szCs w:val="24"/>
          <w:rtl/>
        </w:rPr>
        <w:t xml:space="preserve">. </w:t>
      </w:r>
    </w:p>
    <w:p w14:paraId="0B4F165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[מקום טמא]</w:t>
      </w:r>
    </w:p>
    <w:p w14:paraId="7417B06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המקודשים המונחים על גבי מקום טמא, פסולים להזאה - ונטמאים</w:t>
      </w:r>
      <w:r>
        <w:rPr>
          <w:rFonts w:ascii="David" w:hAnsi="David" w:cs="David"/>
          <w:color w:val="0000FF"/>
          <w:sz w:val="24"/>
          <w:szCs w:val="24"/>
          <w:vertAlign w:val="superscript"/>
          <w:rtl/>
        </w:rPr>
        <w:footnoteReference w:customMarkFollows="1" w:id="969"/>
        <w:t>969</w:t>
      </w:r>
      <w:r>
        <w:rPr>
          <w:rFonts w:ascii="David" w:hAnsi="David" w:cs="David"/>
          <w:color w:val="000000"/>
          <w:sz w:val="24"/>
          <w:szCs w:val="24"/>
          <w:rtl/>
        </w:rPr>
        <w:t xml:space="preserve"> - כשם שאפר-חטאת* שהונח על גבי מקום טמא פסול</w:t>
      </w:r>
      <w:r>
        <w:rPr>
          <w:rFonts w:ascii="David" w:hAnsi="David" w:cs="David"/>
          <w:color w:val="0000FF"/>
          <w:sz w:val="24"/>
          <w:szCs w:val="24"/>
          <w:vertAlign w:val="superscript"/>
          <w:rtl/>
        </w:rPr>
        <w:footnoteReference w:customMarkFollows="1" w:id="970"/>
        <w:t>970</w:t>
      </w:r>
      <w:r>
        <w:rPr>
          <w:rFonts w:ascii="David" w:hAnsi="David" w:cs="David"/>
          <w:color w:val="000000"/>
          <w:sz w:val="24"/>
          <w:szCs w:val="24"/>
          <w:rtl/>
        </w:rPr>
        <w:t>, שנאמר: והניח מחוץ למחנה במקום טהור</w:t>
      </w:r>
      <w:r>
        <w:rPr>
          <w:rFonts w:ascii="David" w:hAnsi="David" w:cs="David"/>
          <w:color w:val="0000FF"/>
          <w:sz w:val="24"/>
          <w:szCs w:val="24"/>
          <w:vertAlign w:val="superscript"/>
          <w:rtl/>
        </w:rPr>
        <w:footnoteReference w:customMarkFollows="1" w:id="971"/>
        <w:t>971</w:t>
      </w:r>
      <w:r>
        <w:rPr>
          <w:rFonts w:ascii="David" w:hAnsi="David" w:cs="David"/>
          <w:color w:val="000000"/>
          <w:sz w:val="24"/>
          <w:szCs w:val="24"/>
          <w:rtl/>
        </w:rPr>
        <w:t>, שיהא מקומו טהור</w:t>
      </w:r>
      <w:r>
        <w:rPr>
          <w:rFonts w:ascii="David" w:hAnsi="David" w:cs="David"/>
          <w:color w:val="0000FF"/>
          <w:sz w:val="24"/>
          <w:szCs w:val="24"/>
          <w:vertAlign w:val="superscript"/>
          <w:rtl/>
        </w:rPr>
        <w:footnoteReference w:customMarkFollows="1" w:id="972"/>
        <w:t>972</w:t>
      </w:r>
      <w:r>
        <w:rPr>
          <w:rFonts w:ascii="David" w:hAnsi="David" w:cs="David"/>
          <w:color w:val="000000"/>
          <w:sz w:val="24"/>
          <w:szCs w:val="24"/>
          <w:rtl/>
        </w:rPr>
        <w:t>, ואף על פי שבאפר חטאת הכתוב מדבר</w:t>
      </w:r>
      <w:r>
        <w:rPr>
          <w:rFonts w:ascii="David" w:hAnsi="David" w:cs="David"/>
          <w:color w:val="0000FF"/>
          <w:sz w:val="24"/>
          <w:szCs w:val="24"/>
          <w:vertAlign w:val="superscript"/>
          <w:rtl/>
        </w:rPr>
        <w:footnoteReference w:customMarkFollows="1" w:id="973"/>
        <w:t>973</w:t>
      </w:r>
      <w:r>
        <w:rPr>
          <w:rFonts w:ascii="David" w:hAnsi="David" w:cs="David"/>
          <w:color w:val="000000"/>
          <w:sz w:val="24"/>
          <w:szCs w:val="24"/>
          <w:rtl/>
        </w:rPr>
        <w:t>, אף המים צריך שיהיו במקום טהור, מחמת האפר שבהם</w:t>
      </w:r>
      <w:r>
        <w:rPr>
          <w:rFonts w:ascii="David" w:hAnsi="David" w:cs="David"/>
          <w:color w:val="0000FF"/>
          <w:sz w:val="24"/>
          <w:szCs w:val="24"/>
          <w:vertAlign w:val="superscript"/>
          <w:rtl/>
        </w:rPr>
        <w:footnoteReference w:customMarkFollows="1" w:id="974"/>
        <w:t>974</w:t>
      </w:r>
      <w:r>
        <w:rPr>
          <w:rFonts w:ascii="David" w:hAnsi="David" w:cs="David"/>
          <w:color w:val="000000"/>
          <w:sz w:val="24"/>
          <w:szCs w:val="24"/>
          <w:rtl/>
        </w:rPr>
        <w:t>. ולכן כלי שיש בו מים מקודשים, ונתון באהל-המת*, אף על פי שהוא מוקף צמיד-פתיל* - המציל מן הטומאה</w:t>
      </w:r>
      <w:r>
        <w:rPr>
          <w:rFonts w:ascii="David" w:hAnsi="David" w:cs="David"/>
          <w:color w:val="0000FF"/>
          <w:sz w:val="24"/>
          <w:szCs w:val="24"/>
          <w:vertAlign w:val="superscript"/>
          <w:rtl/>
        </w:rPr>
        <w:footnoteReference w:customMarkFollows="1" w:id="975"/>
        <w:t>975</w:t>
      </w:r>
      <w:r>
        <w:rPr>
          <w:rFonts w:ascii="David" w:hAnsi="David" w:cs="David"/>
          <w:color w:val="000000"/>
          <w:sz w:val="24"/>
          <w:szCs w:val="24"/>
          <w:rtl/>
        </w:rPr>
        <w:t xml:space="preserve"> - המים שבכלי טמאים, לפי שהוא מצוי במקום טמא</w:t>
      </w:r>
      <w:r>
        <w:rPr>
          <w:rFonts w:ascii="David" w:hAnsi="David" w:cs="David"/>
          <w:color w:val="0000FF"/>
          <w:sz w:val="24"/>
          <w:szCs w:val="24"/>
          <w:vertAlign w:val="superscript"/>
          <w:rtl/>
        </w:rPr>
        <w:footnoteReference w:customMarkFollows="1" w:id="976"/>
        <w:t>976</w:t>
      </w:r>
      <w:r>
        <w:rPr>
          <w:rFonts w:ascii="David" w:hAnsi="David" w:cs="David"/>
          <w:color w:val="000000"/>
          <w:sz w:val="24"/>
          <w:szCs w:val="24"/>
          <w:rtl/>
        </w:rPr>
        <w:t>. ואף לדעת ר' אלעזר הסובר שמים מקודשים שנטמאו כשרים להזאה</w:t>
      </w:r>
      <w:r>
        <w:rPr>
          <w:rFonts w:ascii="David" w:hAnsi="David" w:cs="David"/>
          <w:color w:val="0000FF"/>
          <w:sz w:val="24"/>
          <w:szCs w:val="24"/>
          <w:vertAlign w:val="superscript"/>
          <w:rtl/>
        </w:rPr>
        <w:footnoteReference w:customMarkFollows="1" w:id="977"/>
        <w:t>977</w:t>
      </w:r>
      <w:r>
        <w:rPr>
          <w:rFonts w:ascii="David" w:hAnsi="David" w:cs="David"/>
          <w:color w:val="000000"/>
          <w:sz w:val="24"/>
          <w:szCs w:val="24"/>
          <w:rtl/>
        </w:rPr>
        <w:t>, יש מן הראשונים והאחרונים שכתבו, שאם באו המים למקום טמא, הרי הם פסולים</w:t>
      </w:r>
      <w:r>
        <w:rPr>
          <w:rFonts w:ascii="David" w:hAnsi="David" w:cs="David"/>
          <w:color w:val="0000FF"/>
          <w:sz w:val="24"/>
          <w:szCs w:val="24"/>
          <w:vertAlign w:val="superscript"/>
          <w:rtl/>
        </w:rPr>
        <w:footnoteReference w:customMarkFollows="1" w:id="978"/>
        <w:t>978</w:t>
      </w:r>
      <w:r>
        <w:rPr>
          <w:rFonts w:ascii="David" w:hAnsi="David" w:cs="David"/>
          <w:color w:val="000000"/>
          <w:sz w:val="24"/>
          <w:szCs w:val="24"/>
          <w:rtl/>
        </w:rPr>
        <w:t>, שלא משום קבלת טומאה הם נפסלים, אלא גזירת הכתוב היא שיהיו המים במקום טהור</w:t>
      </w:r>
      <w:r>
        <w:rPr>
          <w:rFonts w:ascii="David" w:hAnsi="David" w:cs="David"/>
          <w:color w:val="0000FF"/>
          <w:sz w:val="24"/>
          <w:szCs w:val="24"/>
          <w:vertAlign w:val="superscript"/>
          <w:rtl/>
        </w:rPr>
        <w:footnoteReference w:customMarkFollows="1" w:id="979"/>
        <w:t>979</w:t>
      </w:r>
      <w:r>
        <w:rPr>
          <w:rFonts w:ascii="David" w:hAnsi="David" w:cs="David"/>
          <w:color w:val="000000"/>
          <w:sz w:val="24"/>
          <w:szCs w:val="24"/>
          <w:rtl/>
        </w:rPr>
        <w:t>, ויש מן הראשונים שנראה מדבריהם שלדעת ר' אלעזר אף מים שבאו למקום טמא כשרים להזאה</w:t>
      </w:r>
      <w:r>
        <w:rPr>
          <w:rFonts w:ascii="David" w:hAnsi="David" w:cs="David"/>
          <w:color w:val="0000FF"/>
          <w:sz w:val="24"/>
          <w:szCs w:val="24"/>
          <w:vertAlign w:val="superscript"/>
          <w:rtl/>
        </w:rPr>
        <w:footnoteReference w:customMarkFollows="1" w:id="980"/>
        <w:t>980</w:t>
      </w:r>
      <w:r>
        <w:rPr>
          <w:rFonts w:ascii="David" w:hAnsi="David" w:cs="David"/>
          <w:color w:val="000000"/>
          <w:sz w:val="24"/>
          <w:szCs w:val="24"/>
          <w:rtl/>
        </w:rPr>
        <w:t>. אבל כלי ריק הטהור לחטאת, או מים שאינם מקודשים, המונחים על גבי מקום טמא, הרי אלו טהורים כמות שהיו</w:t>
      </w:r>
      <w:r>
        <w:rPr>
          <w:rFonts w:ascii="David" w:hAnsi="David" w:cs="David"/>
          <w:color w:val="0000FF"/>
          <w:sz w:val="24"/>
          <w:szCs w:val="24"/>
          <w:vertAlign w:val="superscript"/>
          <w:rtl/>
        </w:rPr>
        <w:footnoteReference w:customMarkFollows="1" w:id="981"/>
        <w:t>981</w:t>
      </w:r>
      <w:r>
        <w:rPr>
          <w:rFonts w:ascii="David" w:hAnsi="David" w:cs="David"/>
          <w:color w:val="000000"/>
          <w:sz w:val="24"/>
          <w:szCs w:val="24"/>
          <w:rtl/>
        </w:rPr>
        <w:t>, שהכתוב "והניחו במקום טהור" אינו מדבר אלא באפר חטאת או במים המקודשים</w:t>
      </w:r>
      <w:r>
        <w:rPr>
          <w:rFonts w:ascii="David" w:hAnsi="David" w:cs="David"/>
          <w:color w:val="0000FF"/>
          <w:sz w:val="24"/>
          <w:szCs w:val="24"/>
          <w:vertAlign w:val="superscript"/>
          <w:rtl/>
        </w:rPr>
        <w:footnoteReference w:customMarkFollows="1" w:id="982"/>
        <w:t>982</w:t>
      </w:r>
      <w:r>
        <w:rPr>
          <w:rFonts w:ascii="David" w:hAnsi="David" w:cs="David"/>
          <w:color w:val="000000"/>
          <w:sz w:val="24"/>
          <w:szCs w:val="24"/>
          <w:rtl/>
        </w:rPr>
        <w:t xml:space="preserve">. על גדרו של מקום טמא ומיני טומאתו, ע"ע אפר </w:t>
      </w:r>
    </w:p>
    <w:p w14:paraId="4BD7929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חטאת</w:t>
      </w:r>
      <w:r>
        <w:rPr>
          <w:rFonts w:ascii="David" w:hAnsi="David" w:cs="David"/>
          <w:color w:val="0000FF"/>
          <w:sz w:val="24"/>
          <w:szCs w:val="24"/>
          <w:vertAlign w:val="superscript"/>
          <w:rtl/>
        </w:rPr>
        <w:footnoteReference w:customMarkFollows="1" w:id="983"/>
        <w:t>983</w:t>
      </w:r>
      <w:r>
        <w:rPr>
          <w:rFonts w:ascii="David" w:hAnsi="David" w:cs="David"/>
          <w:color w:val="000000"/>
          <w:sz w:val="24"/>
          <w:szCs w:val="24"/>
          <w:rtl/>
        </w:rPr>
        <w:t>, על התנאים הסוברים שאפר הנתון בתוך כלי טהור חשוב כמונח במקום טהור אפילו היה הכלי במקום טמא, ע"ע הנ"ל</w:t>
      </w:r>
      <w:r>
        <w:rPr>
          <w:rFonts w:ascii="David" w:hAnsi="David" w:cs="David"/>
          <w:color w:val="0000FF"/>
          <w:sz w:val="24"/>
          <w:szCs w:val="24"/>
          <w:vertAlign w:val="superscript"/>
          <w:rtl/>
        </w:rPr>
        <w:footnoteReference w:customMarkFollows="1" w:id="984"/>
        <w:t>984</w:t>
      </w:r>
      <w:r>
        <w:rPr>
          <w:rFonts w:ascii="David" w:hAnsi="David" w:cs="David"/>
          <w:color w:val="000000"/>
          <w:sz w:val="24"/>
          <w:szCs w:val="24"/>
          <w:rtl/>
        </w:rPr>
        <w:t xml:space="preserve">. </w:t>
      </w:r>
    </w:p>
    <w:p w14:paraId="281ED09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[בקלוט]</w:t>
      </w:r>
    </w:p>
    <w:p w14:paraId="4134293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הטהור לחטאת שהיה עומד על גבי התנור - וכיוצא בו מכלים שאינם טהורים לחטאת</w:t>
      </w:r>
      <w:r>
        <w:rPr>
          <w:rFonts w:ascii="David" w:hAnsi="David" w:cs="David"/>
          <w:color w:val="0000FF"/>
          <w:sz w:val="24"/>
          <w:szCs w:val="24"/>
          <w:vertAlign w:val="superscript"/>
          <w:rtl/>
        </w:rPr>
        <w:footnoteReference w:customMarkFollows="1" w:id="985"/>
        <w:t>985</w:t>
      </w:r>
      <w:r>
        <w:rPr>
          <w:rFonts w:ascii="David" w:hAnsi="David" w:cs="David"/>
          <w:color w:val="000000"/>
          <w:sz w:val="24"/>
          <w:szCs w:val="24"/>
          <w:rtl/>
        </w:rPr>
        <w:t xml:space="preserve"> - ופשט ידו חוץ לתנור וכלי שיש בו מי חטאת בידו, וכן קנה המוטל על גבי התנור ושני כלים שיש בהם מי חטאת תלויים בו אחד מכאן ואחד מכאן, לדעת חכמים הרי אלו טמאים, לפי שאינם במקום הטהור לחטאת</w:t>
      </w:r>
      <w:r>
        <w:rPr>
          <w:rFonts w:ascii="David" w:hAnsi="David" w:cs="David"/>
          <w:color w:val="0000FF"/>
          <w:sz w:val="24"/>
          <w:szCs w:val="24"/>
          <w:vertAlign w:val="superscript"/>
          <w:rtl/>
        </w:rPr>
        <w:footnoteReference w:customMarkFollows="1" w:id="986"/>
        <w:t>986</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987"/>
        <w:t>987</w:t>
      </w:r>
      <w:r>
        <w:rPr>
          <w:rFonts w:ascii="David" w:hAnsi="David" w:cs="David"/>
          <w:color w:val="000000"/>
          <w:sz w:val="24"/>
          <w:szCs w:val="24"/>
          <w:rtl/>
        </w:rPr>
        <w:t>, שהואיל והם נשענים על התנור הרי הם כאילו מונחים על גביו</w:t>
      </w:r>
      <w:r>
        <w:rPr>
          <w:rFonts w:ascii="David" w:hAnsi="David" w:cs="David"/>
          <w:color w:val="0000FF"/>
          <w:sz w:val="24"/>
          <w:szCs w:val="24"/>
          <w:vertAlign w:val="superscript"/>
          <w:rtl/>
        </w:rPr>
        <w:footnoteReference w:customMarkFollows="1" w:id="988"/>
        <w:t>988</w:t>
      </w:r>
      <w:r>
        <w:rPr>
          <w:rFonts w:ascii="David" w:hAnsi="David" w:cs="David"/>
          <w:color w:val="000000"/>
          <w:sz w:val="24"/>
          <w:szCs w:val="24"/>
          <w:rtl/>
        </w:rPr>
        <w:t>, ור' עקיבא מטהר</w:t>
      </w:r>
      <w:r>
        <w:rPr>
          <w:rFonts w:ascii="David" w:hAnsi="David" w:cs="David"/>
          <w:color w:val="0000FF"/>
          <w:sz w:val="24"/>
          <w:szCs w:val="24"/>
          <w:vertAlign w:val="superscript"/>
          <w:rtl/>
        </w:rPr>
        <w:footnoteReference w:customMarkFollows="1" w:id="989"/>
        <w:t>989</w:t>
      </w:r>
      <w:r>
        <w:rPr>
          <w:rFonts w:ascii="David" w:hAnsi="David" w:cs="David"/>
          <w:color w:val="000000"/>
          <w:sz w:val="24"/>
          <w:szCs w:val="24"/>
          <w:rtl/>
        </w:rPr>
        <w:t>, לפי שהכלי שבו מי החטאת הוא באויר חוץ לתנור</w:t>
      </w:r>
      <w:r>
        <w:rPr>
          <w:rFonts w:ascii="David" w:hAnsi="David" w:cs="David"/>
          <w:color w:val="0000FF"/>
          <w:sz w:val="24"/>
          <w:szCs w:val="24"/>
          <w:vertAlign w:val="superscript"/>
          <w:rtl/>
        </w:rPr>
        <w:footnoteReference w:customMarkFollows="1" w:id="990"/>
        <w:t>990</w:t>
      </w:r>
      <w:r>
        <w:rPr>
          <w:rFonts w:ascii="David" w:hAnsi="David" w:cs="David"/>
          <w:color w:val="000000"/>
          <w:sz w:val="24"/>
          <w:szCs w:val="24"/>
          <w:rtl/>
        </w:rPr>
        <w:t>, ולדעת ר' עקיבא קלוטה-כמי-שהונחה*</w:t>
      </w:r>
      <w:r>
        <w:rPr>
          <w:rFonts w:ascii="David" w:hAnsi="David" w:cs="David"/>
          <w:color w:val="0000FF"/>
          <w:sz w:val="24"/>
          <w:szCs w:val="24"/>
          <w:vertAlign w:val="superscript"/>
          <w:rtl/>
        </w:rPr>
        <w:footnoteReference w:customMarkFollows="1" w:id="991"/>
        <w:t>991</w:t>
      </w:r>
      <w:r>
        <w:rPr>
          <w:rFonts w:ascii="David" w:hAnsi="David" w:cs="David"/>
          <w:color w:val="000000"/>
          <w:sz w:val="24"/>
          <w:szCs w:val="24"/>
          <w:rtl/>
        </w:rPr>
        <w:t>, והרי זה כמונח חוץ לתנור שמקומו טהור</w:t>
      </w:r>
      <w:r>
        <w:rPr>
          <w:rFonts w:ascii="David" w:hAnsi="David" w:cs="David"/>
          <w:color w:val="0000FF"/>
          <w:sz w:val="24"/>
          <w:szCs w:val="24"/>
          <w:vertAlign w:val="superscript"/>
          <w:rtl/>
        </w:rPr>
        <w:footnoteReference w:customMarkFollows="1" w:id="992"/>
        <w:t>992</w:t>
      </w:r>
      <w:r>
        <w:rPr>
          <w:rFonts w:ascii="David" w:hAnsi="David" w:cs="David"/>
          <w:color w:val="000000"/>
          <w:sz w:val="24"/>
          <w:szCs w:val="24"/>
          <w:rtl/>
        </w:rPr>
        <w:t>. היה עומד חוץ לתנור ופשט ידו לחלון ונטל כלי שיש בו מי חטאת והעבירו על גבי התנור, ר' עקיבא מטמא וחכמים מטהרים</w:t>
      </w:r>
      <w:r>
        <w:rPr>
          <w:rFonts w:ascii="David" w:hAnsi="David" w:cs="David"/>
          <w:color w:val="0000FF"/>
          <w:sz w:val="24"/>
          <w:szCs w:val="24"/>
          <w:vertAlign w:val="superscript"/>
          <w:rtl/>
        </w:rPr>
        <w:footnoteReference w:customMarkFollows="1" w:id="993"/>
        <w:t>993</w:t>
      </w:r>
      <w:r>
        <w:rPr>
          <w:rFonts w:ascii="David" w:hAnsi="David" w:cs="David"/>
          <w:color w:val="000000"/>
          <w:sz w:val="24"/>
          <w:szCs w:val="24"/>
          <w:rtl/>
        </w:rPr>
        <w:t>, והלכה כחכמים</w:t>
      </w:r>
      <w:r>
        <w:rPr>
          <w:rFonts w:ascii="David" w:hAnsi="David" w:cs="David"/>
          <w:color w:val="0000FF"/>
          <w:sz w:val="24"/>
          <w:szCs w:val="24"/>
          <w:vertAlign w:val="superscript"/>
          <w:rtl/>
        </w:rPr>
        <w:footnoteReference w:customMarkFollows="1" w:id="994"/>
        <w:t>994</w:t>
      </w:r>
      <w:r>
        <w:rPr>
          <w:rFonts w:ascii="David" w:hAnsi="David" w:cs="David"/>
          <w:color w:val="000000"/>
          <w:sz w:val="24"/>
          <w:szCs w:val="24"/>
          <w:rtl/>
        </w:rPr>
        <w:t>. ונחלקו אמוראים בטעם המחלוקת כשהעבירו על גבי התנור: אביי סובר, שלדעת ר' עקיבא גזרו עליו טומאה שמא יניחנו בתוך האויר של התנור דרך העברתו, ולדעת חכמים לא גזרו</w:t>
      </w:r>
      <w:r>
        <w:rPr>
          <w:rFonts w:ascii="David" w:hAnsi="David" w:cs="David"/>
          <w:color w:val="0000FF"/>
          <w:sz w:val="24"/>
          <w:szCs w:val="24"/>
          <w:vertAlign w:val="superscript"/>
          <w:rtl/>
        </w:rPr>
        <w:footnoteReference w:customMarkFollows="1" w:id="995"/>
        <w:t>995</w:t>
      </w:r>
      <w:r>
        <w:rPr>
          <w:rFonts w:ascii="David" w:hAnsi="David" w:cs="David"/>
          <w:color w:val="000000"/>
          <w:sz w:val="24"/>
          <w:szCs w:val="24"/>
          <w:rtl/>
        </w:rPr>
        <w:t>, ולכך הזאה שהעבירה על כלי טמא אף לדברי ר' עקיבא טהורה, שכיון שיצאה מידו יצאה, ואין לגזור בה שמא יניח</w:t>
      </w:r>
      <w:r>
        <w:rPr>
          <w:rFonts w:ascii="David" w:hAnsi="David" w:cs="David"/>
          <w:color w:val="0000FF"/>
          <w:sz w:val="24"/>
          <w:szCs w:val="24"/>
          <w:vertAlign w:val="superscript"/>
          <w:rtl/>
        </w:rPr>
        <w:footnoteReference w:customMarkFollows="1" w:id="996"/>
        <w:t>996</w:t>
      </w:r>
      <w:r>
        <w:rPr>
          <w:rFonts w:ascii="David" w:hAnsi="David" w:cs="David"/>
          <w:color w:val="000000"/>
          <w:sz w:val="24"/>
          <w:szCs w:val="24"/>
          <w:rtl/>
        </w:rPr>
        <w:t>, ורבה סובר, שלדעת ר' עקיבא קלוטה כמי שהונחה, ובשעה שהעבירו על פי התנור הרי הוא כאילו הניחו בתוכו ונטמא, ולדעת חכמים קלוטה אינה כמי שהונחה</w:t>
      </w:r>
      <w:r>
        <w:rPr>
          <w:rFonts w:ascii="David" w:hAnsi="David" w:cs="David"/>
          <w:color w:val="0000FF"/>
          <w:sz w:val="24"/>
          <w:szCs w:val="24"/>
          <w:vertAlign w:val="superscript"/>
          <w:rtl/>
        </w:rPr>
        <w:footnoteReference w:customMarkFollows="1" w:id="997"/>
        <w:t>997</w:t>
      </w:r>
      <w:r>
        <w:rPr>
          <w:rFonts w:ascii="David" w:hAnsi="David" w:cs="David"/>
          <w:color w:val="000000"/>
          <w:sz w:val="24"/>
          <w:szCs w:val="24"/>
          <w:rtl/>
        </w:rPr>
        <w:t>, ומכל מקום אף לדעתו, אם העביר ההזאה על כלי טמא כשרה, שלגבי ההזאה אין אומרים קלוטה כמי שהונחה</w:t>
      </w:r>
      <w:r>
        <w:rPr>
          <w:rFonts w:ascii="David" w:hAnsi="David" w:cs="David"/>
          <w:color w:val="0000FF"/>
          <w:sz w:val="24"/>
          <w:szCs w:val="24"/>
          <w:vertAlign w:val="superscript"/>
          <w:rtl/>
        </w:rPr>
        <w:footnoteReference w:customMarkFollows="1" w:id="998"/>
        <w:t>998</w:t>
      </w:r>
      <w:r>
        <w:rPr>
          <w:rFonts w:ascii="David" w:hAnsi="David" w:cs="David"/>
          <w:color w:val="000000"/>
          <w:sz w:val="24"/>
          <w:szCs w:val="24"/>
          <w:rtl/>
        </w:rPr>
        <w:t xml:space="preserve">. </w:t>
      </w:r>
    </w:p>
    <w:p w14:paraId="091EC57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[העברתם בנהר]</w:t>
      </w:r>
    </w:p>
    <w:p w14:paraId="7C8ABB9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המקודשים, אין מעבירים אותם בנהר ובספינה - היינו, בספינה ששטה בנהר</w:t>
      </w:r>
      <w:r>
        <w:rPr>
          <w:rFonts w:ascii="David" w:hAnsi="David" w:cs="David"/>
          <w:color w:val="0000FF"/>
          <w:sz w:val="24"/>
          <w:szCs w:val="24"/>
          <w:vertAlign w:val="superscript"/>
          <w:rtl/>
        </w:rPr>
        <w:footnoteReference w:customMarkFollows="1" w:id="999"/>
        <w:t>999</w:t>
      </w:r>
      <w:r>
        <w:rPr>
          <w:rFonts w:ascii="David" w:hAnsi="David" w:cs="David"/>
          <w:color w:val="000000"/>
          <w:sz w:val="24"/>
          <w:szCs w:val="24"/>
          <w:rtl/>
        </w:rPr>
        <w:t xml:space="preserve"> - ולא ישיטם על פני המים, ולא יעמוד בצד </w:t>
      </w:r>
    </w:p>
    <w:p w14:paraId="714CCEF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הנהר מכאן ויזרקם לצד השני</w:t>
      </w:r>
      <w:r>
        <w:rPr>
          <w:rFonts w:ascii="David" w:hAnsi="David" w:cs="David"/>
          <w:color w:val="0000FF"/>
          <w:sz w:val="24"/>
          <w:szCs w:val="24"/>
          <w:vertAlign w:val="superscript"/>
          <w:rtl/>
        </w:rPr>
        <w:footnoteReference w:customMarkFollows="1" w:id="1000"/>
        <w:t>1000</w:t>
      </w:r>
      <w:r>
        <w:rPr>
          <w:rFonts w:ascii="David" w:hAnsi="David" w:cs="David"/>
          <w:color w:val="000000"/>
          <w:sz w:val="24"/>
          <w:szCs w:val="24"/>
          <w:rtl/>
        </w:rPr>
        <w:t>, שגזרו - בית דין הגדול</w:t>
      </w:r>
      <w:r>
        <w:rPr>
          <w:rFonts w:ascii="David" w:hAnsi="David" w:cs="David"/>
          <w:color w:val="0000FF"/>
          <w:sz w:val="24"/>
          <w:szCs w:val="24"/>
          <w:vertAlign w:val="superscript"/>
          <w:rtl/>
        </w:rPr>
        <w:footnoteReference w:customMarkFollows="1" w:id="1001"/>
        <w:t>1001</w:t>
      </w:r>
      <w:r>
        <w:rPr>
          <w:rFonts w:ascii="David" w:hAnsi="David" w:cs="David"/>
          <w:color w:val="000000"/>
          <w:sz w:val="24"/>
          <w:szCs w:val="24"/>
          <w:rtl/>
        </w:rPr>
        <w:t xml:space="preserve"> - על כך, משום מעשה שהיה, שפעם אחת הוליכו כלי שהיו בו מי חטאת בספינה בירדן, ונמצא כזית מן המת בקרקע הספינה, ונטמאו המים</w:t>
      </w:r>
      <w:r>
        <w:rPr>
          <w:rFonts w:ascii="David" w:hAnsi="David" w:cs="David"/>
          <w:color w:val="0000FF"/>
          <w:sz w:val="24"/>
          <w:szCs w:val="24"/>
          <w:vertAlign w:val="superscript"/>
          <w:rtl/>
        </w:rPr>
        <w:footnoteReference w:customMarkFollows="1" w:id="1002"/>
        <w:t>1002</w:t>
      </w:r>
      <w:r>
        <w:rPr>
          <w:rFonts w:ascii="David" w:hAnsi="David" w:cs="David"/>
          <w:color w:val="000000"/>
          <w:sz w:val="24"/>
          <w:szCs w:val="24"/>
          <w:rtl/>
        </w:rPr>
        <w:t>, מפני שהאהיל הכלי על המת ונטמא באהל-המת*</w:t>
      </w:r>
      <w:r>
        <w:rPr>
          <w:rFonts w:ascii="David" w:hAnsi="David" w:cs="David"/>
          <w:color w:val="0000FF"/>
          <w:sz w:val="24"/>
          <w:szCs w:val="24"/>
          <w:vertAlign w:val="superscript"/>
          <w:rtl/>
        </w:rPr>
        <w:footnoteReference w:customMarkFollows="1" w:id="1003"/>
        <w:t>1003</w:t>
      </w:r>
      <w:r>
        <w:rPr>
          <w:rFonts w:ascii="David" w:hAnsi="David" w:cs="David"/>
          <w:color w:val="000000"/>
          <w:sz w:val="24"/>
          <w:szCs w:val="24"/>
          <w:rtl/>
        </w:rPr>
        <w:t>, או מחמת היותם במקום טמא</w:t>
      </w:r>
      <w:r>
        <w:rPr>
          <w:rFonts w:ascii="David" w:hAnsi="David" w:cs="David"/>
          <w:color w:val="0000FF"/>
          <w:sz w:val="24"/>
          <w:szCs w:val="24"/>
          <w:vertAlign w:val="superscript"/>
          <w:rtl/>
        </w:rPr>
        <w:footnoteReference w:customMarkFollows="1" w:id="1004"/>
        <w:t>1004</w:t>
      </w:r>
      <w:r>
        <w:rPr>
          <w:rFonts w:ascii="David" w:hAnsi="David" w:cs="David"/>
          <w:color w:val="000000"/>
          <w:sz w:val="24"/>
          <w:szCs w:val="24"/>
          <w:rtl/>
        </w:rPr>
        <w:t xml:space="preserve"> - על פסול המונח במקום טמא, עי' לעיל</w:t>
      </w:r>
      <w:r>
        <w:rPr>
          <w:rFonts w:ascii="David" w:hAnsi="David" w:cs="David"/>
          <w:color w:val="0000FF"/>
          <w:sz w:val="24"/>
          <w:szCs w:val="24"/>
          <w:vertAlign w:val="superscript"/>
          <w:rtl/>
        </w:rPr>
        <w:footnoteReference w:customMarkFollows="1" w:id="1005"/>
        <w:t>1005</w:t>
      </w:r>
      <w:r>
        <w:rPr>
          <w:rFonts w:ascii="David" w:hAnsi="David" w:cs="David"/>
          <w:color w:val="000000"/>
          <w:sz w:val="24"/>
          <w:szCs w:val="24"/>
          <w:rtl/>
        </w:rPr>
        <w:t xml:space="preserve"> - ולפיכך גזרו בכל נהרות, לא להעבירם באופנים אלו</w:t>
      </w:r>
      <w:r>
        <w:rPr>
          <w:rFonts w:ascii="David" w:hAnsi="David" w:cs="David"/>
          <w:color w:val="0000FF"/>
          <w:sz w:val="24"/>
          <w:szCs w:val="24"/>
          <w:vertAlign w:val="superscript"/>
          <w:rtl/>
        </w:rPr>
        <w:footnoteReference w:customMarkFollows="1" w:id="1006"/>
        <w:t>1006</w:t>
      </w:r>
      <w:r>
        <w:rPr>
          <w:rFonts w:ascii="David" w:hAnsi="David" w:cs="David"/>
          <w:color w:val="000000"/>
          <w:sz w:val="24"/>
          <w:szCs w:val="24"/>
          <w:rtl/>
        </w:rPr>
        <w:t>, שדומים להעברה בספינה</w:t>
      </w:r>
      <w:r>
        <w:rPr>
          <w:rFonts w:ascii="David" w:hAnsi="David" w:cs="David"/>
          <w:color w:val="0000FF"/>
          <w:sz w:val="24"/>
          <w:szCs w:val="24"/>
          <w:vertAlign w:val="superscript"/>
          <w:rtl/>
        </w:rPr>
        <w:footnoteReference w:customMarkFollows="1" w:id="1007"/>
        <w:t>1007</w:t>
      </w:r>
      <w:r>
        <w:rPr>
          <w:rFonts w:ascii="David" w:hAnsi="David" w:cs="David"/>
          <w:color w:val="000000"/>
          <w:sz w:val="24"/>
          <w:szCs w:val="24"/>
          <w:rtl/>
        </w:rPr>
        <w:t>, ואם העבירם נטמאו ונפסלו</w:t>
      </w:r>
      <w:r>
        <w:rPr>
          <w:rFonts w:ascii="David" w:hAnsi="David" w:cs="David"/>
          <w:color w:val="0000FF"/>
          <w:sz w:val="24"/>
          <w:szCs w:val="24"/>
          <w:vertAlign w:val="superscript"/>
          <w:rtl/>
        </w:rPr>
        <w:footnoteReference w:customMarkFollows="1" w:id="1008"/>
        <w:t>1008</w:t>
      </w:r>
      <w:r>
        <w:rPr>
          <w:rFonts w:ascii="David" w:hAnsi="David" w:cs="David"/>
          <w:color w:val="000000"/>
          <w:sz w:val="24"/>
          <w:szCs w:val="24"/>
          <w:rtl/>
        </w:rPr>
        <w:t>. ואף לא ירכב על גבי בהמה ולא על גבי חבירו - ויוליכם בנהר</w:t>
      </w:r>
      <w:r>
        <w:rPr>
          <w:rFonts w:ascii="David" w:hAnsi="David" w:cs="David"/>
          <w:color w:val="0000FF"/>
          <w:sz w:val="24"/>
          <w:szCs w:val="24"/>
          <w:vertAlign w:val="superscript"/>
          <w:rtl/>
        </w:rPr>
        <w:footnoteReference w:customMarkFollows="1" w:id="1009"/>
        <w:t>1009</w:t>
      </w:r>
      <w:r>
        <w:rPr>
          <w:rFonts w:ascii="David" w:hAnsi="David" w:cs="David"/>
          <w:color w:val="000000"/>
          <w:sz w:val="24"/>
          <w:szCs w:val="24"/>
          <w:rtl/>
        </w:rPr>
        <w:t xml:space="preserve"> - אלא אם כן היו רגליו - של עליון</w:t>
      </w:r>
      <w:r>
        <w:rPr>
          <w:rFonts w:ascii="David" w:hAnsi="David" w:cs="David"/>
          <w:color w:val="0000FF"/>
          <w:sz w:val="24"/>
          <w:szCs w:val="24"/>
          <w:vertAlign w:val="superscript"/>
          <w:rtl/>
        </w:rPr>
        <w:footnoteReference w:customMarkFollows="1" w:id="1010"/>
        <w:t>1010</w:t>
      </w:r>
      <w:r>
        <w:rPr>
          <w:rFonts w:ascii="David" w:hAnsi="David" w:cs="David"/>
          <w:color w:val="000000"/>
          <w:sz w:val="24"/>
          <w:szCs w:val="24"/>
          <w:rtl/>
        </w:rPr>
        <w:t xml:space="preserve"> - נוגעות בקרקע</w:t>
      </w:r>
      <w:r>
        <w:rPr>
          <w:rFonts w:ascii="David" w:hAnsi="David" w:cs="David"/>
          <w:color w:val="0000FF"/>
          <w:sz w:val="24"/>
          <w:szCs w:val="24"/>
          <w:vertAlign w:val="superscript"/>
          <w:rtl/>
        </w:rPr>
        <w:footnoteReference w:customMarkFollows="1" w:id="1011"/>
        <w:t>1011</w:t>
      </w:r>
      <w:r>
        <w:rPr>
          <w:rFonts w:ascii="David" w:hAnsi="David" w:cs="David"/>
          <w:color w:val="000000"/>
          <w:sz w:val="24"/>
          <w:szCs w:val="24"/>
          <w:rtl/>
        </w:rPr>
        <w:t>, שכשאין רגליו נוגעות בקרקע הדבר דומה להילוך בספינה, שהאדם הנושא את המים יושב במקומו, והספינה נוטלתו ומוליכתו, שהרי אף ספינה פעמים שהיא נוגעת בקרקע</w:t>
      </w:r>
      <w:r>
        <w:rPr>
          <w:rFonts w:ascii="David" w:hAnsi="David" w:cs="David"/>
          <w:color w:val="0000FF"/>
          <w:sz w:val="24"/>
          <w:szCs w:val="24"/>
          <w:vertAlign w:val="superscript"/>
          <w:rtl/>
        </w:rPr>
        <w:footnoteReference w:customMarkFollows="1" w:id="1012"/>
        <w:t>1012</w:t>
      </w:r>
      <w:r>
        <w:rPr>
          <w:rFonts w:ascii="David" w:hAnsi="David" w:cs="David"/>
          <w:color w:val="000000"/>
          <w:sz w:val="24"/>
          <w:szCs w:val="24"/>
          <w:rtl/>
        </w:rPr>
        <w:t>. וכן מותר לו להעבירם במים שעד צוארו</w:t>
      </w:r>
      <w:r>
        <w:rPr>
          <w:rFonts w:ascii="David" w:hAnsi="David" w:cs="David"/>
          <w:color w:val="0000FF"/>
          <w:sz w:val="24"/>
          <w:szCs w:val="24"/>
          <w:vertAlign w:val="superscript"/>
          <w:rtl/>
        </w:rPr>
        <w:footnoteReference w:customMarkFollows="1" w:id="1013"/>
        <w:t>1013</w:t>
      </w:r>
      <w:r>
        <w:rPr>
          <w:rFonts w:ascii="David" w:hAnsi="David" w:cs="David"/>
          <w:color w:val="000000"/>
          <w:sz w:val="24"/>
          <w:szCs w:val="24"/>
          <w:rtl/>
        </w:rPr>
        <w:t>, דהיינו שיהלך בנהר ויעבירנו והם בידו, ולא שישוט בו</w:t>
      </w:r>
      <w:r>
        <w:rPr>
          <w:rFonts w:ascii="David" w:hAnsi="David" w:cs="David"/>
          <w:color w:val="0000FF"/>
          <w:sz w:val="24"/>
          <w:szCs w:val="24"/>
          <w:vertAlign w:val="superscript"/>
          <w:rtl/>
        </w:rPr>
        <w:footnoteReference w:customMarkFollows="1" w:id="1014"/>
        <w:t>1014</w:t>
      </w:r>
      <w:r>
        <w:rPr>
          <w:rFonts w:ascii="David" w:hAnsi="David" w:cs="David"/>
          <w:color w:val="000000"/>
          <w:sz w:val="24"/>
          <w:szCs w:val="24"/>
          <w:rtl/>
        </w:rPr>
        <w:t>. וכן מעבירם על גבי הגשר ואינו חושש</w:t>
      </w:r>
      <w:r>
        <w:rPr>
          <w:rFonts w:ascii="David" w:hAnsi="David" w:cs="David"/>
          <w:color w:val="0000FF"/>
          <w:sz w:val="24"/>
          <w:szCs w:val="24"/>
          <w:vertAlign w:val="superscript"/>
          <w:rtl/>
        </w:rPr>
        <w:footnoteReference w:customMarkFollows="1" w:id="1015"/>
        <w:t>1015</w:t>
      </w:r>
      <w:r>
        <w:rPr>
          <w:rFonts w:ascii="David" w:hAnsi="David" w:cs="David"/>
          <w:color w:val="000000"/>
          <w:sz w:val="24"/>
          <w:szCs w:val="24"/>
          <w:rtl/>
        </w:rPr>
        <w:t>, הואיל ורגליו נוגעות בקרקע הגשר</w:t>
      </w:r>
      <w:r>
        <w:rPr>
          <w:rFonts w:ascii="David" w:hAnsi="David" w:cs="David"/>
          <w:color w:val="0000FF"/>
          <w:sz w:val="24"/>
          <w:szCs w:val="24"/>
          <w:vertAlign w:val="superscript"/>
          <w:rtl/>
        </w:rPr>
        <w:footnoteReference w:customMarkFollows="1" w:id="1016"/>
        <w:t>1016</w:t>
      </w:r>
      <w:r>
        <w:rPr>
          <w:rFonts w:ascii="David" w:hAnsi="David" w:cs="David"/>
          <w:color w:val="000000"/>
          <w:sz w:val="24"/>
          <w:szCs w:val="24"/>
          <w:rtl/>
        </w:rPr>
        <w:t xml:space="preserve"> - אף על פי שגוף הגשר עומד באויר</w:t>
      </w:r>
      <w:r>
        <w:rPr>
          <w:rFonts w:ascii="David" w:hAnsi="David" w:cs="David"/>
          <w:color w:val="0000FF"/>
          <w:sz w:val="24"/>
          <w:szCs w:val="24"/>
          <w:vertAlign w:val="superscript"/>
          <w:rtl/>
        </w:rPr>
        <w:footnoteReference w:customMarkFollows="1" w:id="1017"/>
        <w:t>1017</w:t>
      </w:r>
      <w:r>
        <w:rPr>
          <w:rFonts w:ascii="David" w:hAnsi="David" w:cs="David"/>
          <w:color w:val="000000"/>
          <w:sz w:val="24"/>
          <w:szCs w:val="24"/>
          <w:rtl/>
        </w:rPr>
        <w:t xml:space="preserve"> - שרואים את הגשר כאילו הוא אדמה גבוהה</w:t>
      </w:r>
      <w:r>
        <w:rPr>
          <w:rFonts w:ascii="David" w:hAnsi="David" w:cs="David"/>
          <w:color w:val="0000FF"/>
          <w:sz w:val="24"/>
          <w:szCs w:val="24"/>
          <w:vertAlign w:val="superscript"/>
          <w:rtl/>
        </w:rPr>
        <w:footnoteReference w:customMarkFollows="1" w:id="1018"/>
        <w:t>1018</w:t>
      </w:r>
      <w:r>
        <w:rPr>
          <w:rFonts w:ascii="David" w:hAnsi="David" w:cs="David"/>
          <w:color w:val="000000"/>
          <w:sz w:val="24"/>
          <w:szCs w:val="24"/>
          <w:rtl/>
        </w:rPr>
        <w:t>. וכן מעבירים מים מקודשים בספינה בים הגדול ושטים בהם על פני מימיו, שלא גזרו אלא בנהרות ולא בים</w:t>
      </w:r>
      <w:r>
        <w:rPr>
          <w:rFonts w:ascii="David" w:hAnsi="David" w:cs="David"/>
          <w:color w:val="0000FF"/>
          <w:sz w:val="24"/>
          <w:szCs w:val="24"/>
          <w:vertAlign w:val="superscript"/>
          <w:rtl/>
        </w:rPr>
        <w:footnoteReference w:customMarkFollows="1" w:id="1019"/>
        <w:t>1019</w:t>
      </w:r>
      <w:r>
        <w:rPr>
          <w:rFonts w:ascii="David" w:hAnsi="David" w:cs="David"/>
          <w:color w:val="000000"/>
          <w:sz w:val="24"/>
          <w:szCs w:val="24"/>
          <w:rtl/>
        </w:rPr>
        <w:t>. ורבי חנניא בן עקביא חולק על כל זה, וסובר שלא גזרו אלא בירדן ובספינה, וכמעשה שהיה</w:t>
      </w:r>
      <w:r>
        <w:rPr>
          <w:rFonts w:ascii="David" w:hAnsi="David" w:cs="David"/>
          <w:color w:val="0000FF"/>
          <w:sz w:val="24"/>
          <w:szCs w:val="24"/>
          <w:vertAlign w:val="superscript"/>
          <w:rtl/>
        </w:rPr>
        <w:footnoteReference w:customMarkFollows="1" w:id="1020"/>
        <w:t>1020</w:t>
      </w:r>
      <w:r>
        <w:rPr>
          <w:rFonts w:ascii="David" w:hAnsi="David" w:cs="David"/>
          <w:color w:val="000000"/>
          <w:sz w:val="24"/>
          <w:szCs w:val="24"/>
          <w:rtl/>
        </w:rPr>
        <w:t>, שלדעתו בכל מקום שגזרו חכמים על דבר מחמת מעשה שהיה, לא גזרו אלא כדוגמת אותו המעשה</w:t>
      </w:r>
      <w:r>
        <w:rPr>
          <w:rFonts w:ascii="David" w:hAnsi="David" w:cs="David"/>
          <w:color w:val="0000FF"/>
          <w:sz w:val="24"/>
          <w:szCs w:val="24"/>
          <w:vertAlign w:val="superscript"/>
          <w:rtl/>
        </w:rPr>
        <w:footnoteReference w:customMarkFollows="1" w:id="1021"/>
        <w:t>1021</w:t>
      </w:r>
      <w:r>
        <w:rPr>
          <w:rFonts w:ascii="David" w:hAnsi="David" w:cs="David"/>
          <w:color w:val="000000"/>
          <w:sz w:val="24"/>
          <w:szCs w:val="24"/>
          <w:rtl/>
        </w:rPr>
        <w:t>, ואין הלכה כדבריו</w:t>
      </w:r>
      <w:r>
        <w:rPr>
          <w:rFonts w:ascii="David" w:hAnsi="David" w:cs="David"/>
          <w:color w:val="0000FF"/>
          <w:sz w:val="24"/>
          <w:szCs w:val="24"/>
          <w:vertAlign w:val="superscript"/>
          <w:rtl/>
        </w:rPr>
        <w:footnoteReference w:customMarkFollows="1" w:id="1022"/>
        <w:t>1022</w:t>
      </w:r>
      <w:r>
        <w:rPr>
          <w:rFonts w:ascii="David" w:hAnsi="David" w:cs="David"/>
          <w:color w:val="000000"/>
          <w:sz w:val="24"/>
          <w:szCs w:val="24"/>
          <w:rtl/>
        </w:rPr>
        <w:t xml:space="preserve">. על כך שאף באפר-חטאת* גזרו שאין מעבירים אותו בנהר, ע"ע אפר חטאת: העברתו. </w:t>
      </w:r>
    </w:p>
    <w:p w14:paraId="2AAC3AC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[לדעת ר' אלעזר]</w:t>
      </w:r>
    </w:p>
    <w:p w14:paraId="2C580A4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גזירה זו שלא להעביר מים מקודשים בנהר, כתבו ראשונים ואחרונים שגזרוה אף לדעת ר' אלעזר הסובר שמי חטאת שנטמאו מטהרים</w:t>
      </w:r>
      <w:r>
        <w:rPr>
          <w:rFonts w:ascii="David" w:hAnsi="David" w:cs="David"/>
          <w:color w:val="0000FF"/>
          <w:sz w:val="24"/>
          <w:szCs w:val="24"/>
          <w:vertAlign w:val="superscript"/>
          <w:rtl/>
        </w:rPr>
        <w:footnoteReference w:customMarkFollows="1" w:id="1023"/>
        <w:t>1023</w:t>
      </w:r>
      <w:r>
        <w:rPr>
          <w:rFonts w:ascii="David" w:hAnsi="David" w:cs="David"/>
          <w:color w:val="000000"/>
          <w:sz w:val="24"/>
          <w:szCs w:val="24"/>
          <w:rtl/>
        </w:rPr>
        <w:t xml:space="preserve">, מהם שכתבו שטעם הגזירה לדעת ר' אלעזר, הוא משום שלדעתם מודה ר' אלעזר שאם נטמאו בטומאת מת אינם </w:t>
      </w:r>
    </w:p>
    <w:p w14:paraId="488E6CA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מטהרים</w:t>
      </w:r>
      <w:r>
        <w:rPr>
          <w:rFonts w:ascii="David" w:hAnsi="David" w:cs="David"/>
          <w:color w:val="0000FF"/>
          <w:sz w:val="24"/>
          <w:szCs w:val="24"/>
          <w:vertAlign w:val="superscript"/>
          <w:rtl/>
        </w:rPr>
        <w:footnoteReference w:customMarkFollows="1" w:id="1024"/>
        <w:t>1024</w:t>
      </w:r>
      <w:r>
        <w:rPr>
          <w:rFonts w:ascii="David" w:hAnsi="David" w:cs="David"/>
          <w:color w:val="000000"/>
          <w:sz w:val="24"/>
          <w:szCs w:val="24"/>
          <w:rtl/>
        </w:rPr>
        <w:t>, ומהם שכתבו שמודה ר' אלעזר בגזירה זו, משום שלדעתם מודה ר' אלעזר במים שאינם מקודשים שאם נטמאו נפסלים להזאה</w:t>
      </w:r>
      <w:r>
        <w:rPr>
          <w:rFonts w:ascii="David" w:hAnsi="David" w:cs="David"/>
          <w:color w:val="0000FF"/>
          <w:sz w:val="24"/>
          <w:szCs w:val="24"/>
          <w:vertAlign w:val="superscript"/>
          <w:rtl/>
        </w:rPr>
        <w:footnoteReference w:customMarkFollows="1" w:id="1025"/>
        <w:t>1025</w:t>
      </w:r>
      <w:r>
        <w:rPr>
          <w:rFonts w:ascii="David" w:hAnsi="David" w:cs="David"/>
          <w:color w:val="000000"/>
          <w:sz w:val="24"/>
          <w:szCs w:val="24"/>
          <w:rtl/>
        </w:rPr>
        <w:t>, ולפיכך גזרו על העברת מי חטאת שמא יעביר מים שאינם מקודשים ויטמאו</w:t>
      </w:r>
      <w:r>
        <w:rPr>
          <w:rFonts w:ascii="David" w:hAnsi="David" w:cs="David"/>
          <w:color w:val="0000FF"/>
          <w:sz w:val="24"/>
          <w:szCs w:val="24"/>
          <w:vertAlign w:val="superscript"/>
          <w:rtl/>
        </w:rPr>
        <w:footnoteReference w:customMarkFollows="1" w:id="1026"/>
        <w:t>1026</w:t>
      </w:r>
      <w:r>
        <w:rPr>
          <w:rFonts w:ascii="David" w:hAnsi="David" w:cs="David"/>
          <w:color w:val="000000"/>
          <w:sz w:val="24"/>
          <w:szCs w:val="24"/>
          <w:rtl/>
        </w:rPr>
        <w:t>, ומהם שצידדו לומר, שהואיל וגזרו על אפר חטאת שלא יעבירנו בנהר - שמודה ר' אלעזר באפר חטאת שאם נטמא פסול</w:t>
      </w:r>
      <w:r>
        <w:rPr>
          <w:rFonts w:ascii="David" w:hAnsi="David" w:cs="David"/>
          <w:color w:val="0000FF"/>
          <w:sz w:val="24"/>
          <w:szCs w:val="24"/>
          <w:vertAlign w:val="superscript"/>
          <w:rtl/>
        </w:rPr>
        <w:footnoteReference w:customMarkFollows="1" w:id="1027"/>
        <w:t>1027</w:t>
      </w:r>
      <w:r>
        <w:rPr>
          <w:rFonts w:ascii="David" w:hAnsi="David" w:cs="David"/>
          <w:color w:val="000000"/>
          <w:sz w:val="24"/>
          <w:szCs w:val="24"/>
          <w:rtl/>
        </w:rPr>
        <w:t xml:space="preserve"> - גזרו אף על מים המקודשים</w:t>
      </w:r>
      <w:r>
        <w:rPr>
          <w:rFonts w:ascii="David" w:hAnsi="David" w:cs="David"/>
          <w:color w:val="0000FF"/>
          <w:sz w:val="24"/>
          <w:szCs w:val="24"/>
          <w:vertAlign w:val="superscript"/>
          <w:rtl/>
        </w:rPr>
        <w:footnoteReference w:customMarkFollows="1" w:id="1028"/>
        <w:t>1028</w:t>
      </w:r>
      <w:r>
        <w:rPr>
          <w:rFonts w:ascii="David" w:hAnsi="David" w:cs="David"/>
          <w:color w:val="000000"/>
          <w:sz w:val="24"/>
          <w:szCs w:val="24"/>
          <w:rtl/>
        </w:rPr>
        <w:t>, ששניהם היו באותו המעשה שגזרו מחמתו</w:t>
      </w:r>
      <w:r>
        <w:rPr>
          <w:rFonts w:ascii="David" w:hAnsi="David" w:cs="David"/>
          <w:color w:val="0000FF"/>
          <w:sz w:val="24"/>
          <w:szCs w:val="24"/>
          <w:vertAlign w:val="superscript"/>
          <w:rtl/>
        </w:rPr>
        <w:footnoteReference w:customMarkFollows="1" w:id="1029"/>
        <w:t>1029</w:t>
      </w:r>
      <w:r>
        <w:rPr>
          <w:rFonts w:ascii="David" w:hAnsi="David" w:cs="David"/>
          <w:color w:val="000000"/>
          <w:sz w:val="24"/>
          <w:szCs w:val="24"/>
          <w:rtl/>
        </w:rPr>
        <w:t>, ומהם שכתבו לסוברים שטעם הגזירה הוא משום ביאת המים למקום טמא</w:t>
      </w:r>
      <w:r>
        <w:rPr>
          <w:rFonts w:ascii="David" w:hAnsi="David" w:cs="David"/>
          <w:color w:val="0000FF"/>
          <w:sz w:val="24"/>
          <w:szCs w:val="24"/>
          <w:vertAlign w:val="superscript"/>
          <w:rtl/>
        </w:rPr>
        <w:footnoteReference w:customMarkFollows="1" w:id="1030"/>
        <w:t>1030</w:t>
      </w:r>
      <w:r>
        <w:rPr>
          <w:rFonts w:ascii="David" w:hAnsi="David" w:cs="David"/>
          <w:color w:val="000000"/>
          <w:sz w:val="24"/>
          <w:szCs w:val="24"/>
          <w:rtl/>
        </w:rPr>
        <w:t>, שלכך הגזירה אף לדעת ר' אלעזר, שלדעתם מודה ר' אלעזר במים שבאו למקום טמא שהם פסולים</w:t>
      </w:r>
      <w:r>
        <w:rPr>
          <w:rFonts w:ascii="David" w:hAnsi="David" w:cs="David"/>
          <w:color w:val="0000FF"/>
          <w:sz w:val="24"/>
          <w:szCs w:val="24"/>
          <w:vertAlign w:val="superscript"/>
          <w:rtl/>
        </w:rPr>
        <w:footnoteReference w:customMarkFollows="1" w:id="1031"/>
        <w:t>1031</w:t>
      </w:r>
      <w:r>
        <w:rPr>
          <w:rFonts w:ascii="David" w:hAnsi="David" w:cs="David"/>
          <w:color w:val="000000"/>
          <w:sz w:val="24"/>
          <w:szCs w:val="24"/>
          <w:rtl/>
        </w:rPr>
        <w:t>. ויש מן האחרונים שכתבו שר' אלעזר חולק על גזירה זו, שלדעתם אף אם נטמאו בטומאת מת, ואף אם נטמאו קודם הקידוש, הרי הם מטהרים, לדעת ר' אלעזר</w:t>
      </w:r>
      <w:r>
        <w:rPr>
          <w:rFonts w:ascii="David" w:hAnsi="David" w:cs="David"/>
          <w:color w:val="0000FF"/>
          <w:sz w:val="24"/>
          <w:szCs w:val="24"/>
          <w:vertAlign w:val="superscript"/>
          <w:rtl/>
        </w:rPr>
        <w:footnoteReference w:customMarkFollows="1" w:id="1032"/>
        <w:t>1032</w:t>
      </w:r>
      <w:r>
        <w:rPr>
          <w:rFonts w:ascii="David" w:hAnsi="David" w:cs="David"/>
          <w:color w:val="000000"/>
          <w:sz w:val="24"/>
          <w:szCs w:val="24"/>
          <w:rtl/>
        </w:rPr>
        <w:t xml:space="preserve">. </w:t>
      </w:r>
    </w:p>
    <w:p w14:paraId="1AEA307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[בשאר דברים הטהורים לחטאת]</w:t>
      </w:r>
    </w:p>
    <w:p w14:paraId="2552D04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אדם שהוא טהור לחטאת, מותר לו לשוט על פני המים או לעבור בספינה, וכן מותר לו לשוט כשבידו כלי ריקם הטהור לחטאת, או מים שאינם מקודשים</w:t>
      </w:r>
      <w:r>
        <w:rPr>
          <w:rFonts w:ascii="David" w:hAnsi="David" w:cs="David"/>
          <w:color w:val="0000FF"/>
          <w:sz w:val="24"/>
          <w:szCs w:val="24"/>
          <w:vertAlign w:val="superscript"/>
          <w:rtl/>
        </w:rPr>
        <w:footnoteReference w:customMarkFollows="1" w:id="1033"/>
        <w:t>1033</w:t>
      </w:r>
      <w:r>
        <w:rPr>
          <w:rFonts w:ascii="David" w:hAnsi="David" w:cs="David"/>
          <w:color w:val="000000"/>
          <w:sz w:val="24"/>
          <w:szCs w:val="24"/>
          <w:rtl/>
        </w:rPr>
        <w:t>, שלא גזרו אלא על האפר ועל המים המקודשים, אבל האדם והכלים ומים שאינם מקודשים לא גזרו עליהם</w:t>
      </w:r>
      <w:r>
        <w:rPr>
          <w:rFonts w:ascii="David" w:hAnsi="David" w:cs="David"/>
          <w:color w:val="0000FF"/>
          <w:sz w:val="24"/>
          <w:szCs w:val="24"/>
          <w:vertAlign w:val="superscript"/>
          <w:rtl/>
        </w:rPr>
        <w:footnoteReference w:customMarkFollows="1" w:id="1034"/>
        <w:t>1034</w:t>
      </w:r>
      <w:r>
        <w:rPr>
          <w:rFonts w:ascii="David" w:hAnsi="David" w:cs="David"/>
          <w:color w:val="000000"/>
          <w:sz w:val="24"/>
          <w:szCs w:val="24"/>
          <w:rtl/>
        </w:rPr>
        <w:t>, שבכל אלו לא ציותה תורה שמירה יתירה</w:t>
      </w:r>
      <w:r>
        <w:rPr>
          <w:rFonts w:ascii="David" w:hAnsi="David" w:cs="David"/>
          <w:color w:val="0000FF"/>
          <w:sz w:val="24"/>
          <w:szCs w:val="24"/>
          <w:vertAlign w:val="superscript"/>
          <w:rtl/>
        </w:rPr>
        <w:footnoteReference w:customMarkFollows="1" w:id="1035"/>
        <w:t>1035</w:t>
      </w:r>
      <w:r>
        <w:rPr>
          <w:rFonts w:ascii="David" w:hAnsi="David" w:cs="David"/>
          <w:color w:val="000000"/>
          <w:sz w:val="24"/>
          <w:szCs w:val="24"/>
          <w:rtl/>
        </w:rPr>
        <w:t>, או מפני שהמעשה שגזרו מחמתו, בכלי של מים מקודשים היה</w:t>
      </w:r>
      <w:r>
        <w:rPr>
          <w:rFonts w:ascii="David" w:hAnsi="David" w:cs="David"/>
          <w:color w:val="0000FF"/>
          <w:sz w:val="24"/>
          <w:szCs w:val="24"/>
          <w:vertAlign w:val="superscript"/>
          <w:rtl/>
        </w:rPr>
        <w:footnoteReference w:customMarkFollows="1" w:id="1036"/>
        <w:t>1036</w:t>
      </w:r>
      <w:r>
        <w:rPr>
          <w:rFonts w:ascii="David" w:hAnsi="David" w:cs="David"/>
          <w:color w:val="000000"/>
          <w:sz w:val="24"/>
          <w:szCs w:val="24"/>
          <w:rtl/>
        </w:rPr>
        <w:t xml:space="preserve">. </w:t>
      </w:r>
    </w:p>
    <w:p w14:paraId="750CF55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הנושא את המדרס*, שאסרו עליו לישא את הקודש</w:t>
      </w:r>
      <w:r>
        <w:rPr>
          <w:rFonts w:ascii="David" w:hAnsi="David" w:cs="David"/>
          <w:color w:val="0000FF"/>
          <w:sz w:val="24"/>
          <w:szCs w:val="24"/>
          <w:vertAlign w:val="superscript"/>
          <w:rtl/>
        </w:rPr>
        <w:footnoteReference w:customMarkFollows="1" w:id="1037"/>
        <w:t>1037</w:t>
      </w:r>
      <w:r>
        <w:rPr>
          <w:rFonts w:ascii="David" w:hAnsi="David" w:cs="David"/>
          <w:color w:val="000000"/>
          <w:sz w:val="24"/>
          <w:szCs w:val="24"/>
          <w:rtl/>
        </w:rPr>
        <w:t xml:space="preserve">, אם מותר לו לישא את החטאת, ואם מותר לו לישא מים שאינם מקודשים, ע"ע מעלות. </w:t>
      </w:r>
    </w:p>
    <w:p w14:paraId="0D2D7B6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[המטמאים את המים]</w:t>
      </w:r>
    </w:p>
    <w:p w14:paraId="24E4D6A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כל הטעון טבילה בין מן התורה בין מדבריהם מטמא את מי החטאת</w:t>
      </w:r>
      <w:r>
        <w:rPr>
          <w:rFonts w:ascii="David" w:hAnsi="David" w:cs="David"/>
          <w:color w:val="0000FF"/>
          <w:sz w:val="24"/>
          <w:szCs w:val="24"/>
          <w:vertAlign w:val="superscript"/>
          <w:rtl/>
        </w:rPr>
        <w:footnoteReference w:customMarkFollows="1" w:id="1038"/>
        <w:t>1038</w:t>
      </w:r>
      <w:r>
        <w:rPr>
          <w:rFonts w:ascii="David" w:hAnsi="David" w:cs="David"/>
          <w:color w:val="000000"/>
          <w:sz w:val="24"/>
          <w:szCs w:val="24"/>
          <w:rtl/>
        </w:rPr>
        <w:t>, ואפילו קודם שנתקדשו המים</w:t>
      </w:r>
      <w:r>
        <w:rPr>
          <w:rFonts w:ascii="David" w:hAnsi="David" w:cs="David"/>
          <w:color w:val="0000FF"/>
          <w:sz w:val="24"/>
          <w:szCs w:val="24"/>
          <w:vertAlign w:val="superscript"/>
          <w:rtl/>
        </w:rPr>
        <w:footnoteReference w:customMarkFollows="1" w:id="1039"/>
        <w:t>1039</w:t>
      </w:r>
      <w:r>
        <w:rPr>
          <w:rFonts w:ascii="David" w:hAnsi="David" w:cs="David"/>
          <w:color w:val="000000"/>
          <w:sz w:val="24"/>
          <w:szCs w:val="24"/>
          <w:rtl/>
        </w:rPr>
        <w:t>, הטמא מן התורה מטמא אותם מן התורה, והטמא מדבריהם מטמא אותם מדרבנן</w:t>
      </w:r>
      <w:r>
        <w:rPr>
          <w:rFonts w:ascii="David" w:hAnsi="David" w:cs="David"/>
          <w:color w:val="0000FF"/>
          <w:sz w:val="24"/>
          <w:szCs w:val="24"/>
          <w:vertAlign w:val="superscript"/>
          <w:rtl/>
        </w:rPr>
        <w:footnoteReference w:customMarkFollows="1" w:id="1040"/>
        <w:t>1040</w:t>
      </w:r>
      <w:r>
        <w:rPr>
          <w:rFonts w:ascii="David" w:hAnsi="David" w:cs="David"/>
          <w:color w:val="000000"/>
          <w:sz w:val="24"/>
          <w:szCs w:val="24"/>
          <w:rtl/>
        </w:rPr>
        <w:t>. על טבול-יום* שטבל ולא העריב שמשו, שהוא כשר לכל מעשי הפרה, ועל הטעמים שהוא כשר, ועל מחלוקת הראשונים אם הוא פסול על כל פנים מדרבנן, ע"ע טבול יום: בפרה אדומה. ומעלות יתירות עשו בטהרת החטאת, שהאדם הטהור, אפילו טבל לטהרת קדשים ועומד ומשמש על גבי המזבח, אינו טהור לכל מעשי החטאת, עד שיטבול לשם חטאת</w:t>
      </w:r>
      <w:r>
        <w:rPr>
          <w:rFonts w:ascii="David" w:hAnsi="David" w:cs="David"/>
          <w:color w:val="0000FF"/>
          <w:sz w:val="24"/>
          <w:szCs w:val="24"/>
          <w:vertAlign w:val="superscript"/>
          <w:rtl/>
        </w:rPr>
        <w:footnoteReference w:customMarkFollows="1" w:id="1041"/>
        <w:t>1041</w:t>
      </w:r>
      <w:r>
        <w:rPr>
          <w:rFonts w:ascii="David" w:hAnsi="David" w:cs="David"/>
          <w:color w:val="000000"/>
          <w:sz w:val="24"/>
          <w:szCs w:val="24"/>
          <w:rtl/>
        </w:rPr>
        <w:t xml:space="preserve">, וכן הכלים, אפילו מזרק שבעזרה אינו טהור </w:t>
      </w:r>
    </w:p>
    <w:p w14:paraId="7A0B4DC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לחטאת, עד שיטבילוהו לשם חטאת</w:t>
      </w:r>
      <w:r>
        <w:rPr>
          <w:rFonts w:ascii="David" w:hAnsi="David" w:cs="David"/>
          <w:color w:val="0000FF"/>
          <w:sz w:val="24"/>
          <w:szCs w:val="24"/>
          <w:vertAlign w:val="superscript"/>
          <w:rtl/>
        </w:rPr>
        <w:footnoteReference w:customMarkFollows="1" w:id="1042"/>
        <w:t>1042</w:t>
      </w:r>
      <w:r>
        <w:rPr>
          <w:rFonts w:ascii="David" w:hAnsi="David" w:cs="David"/>
          <w:color w:val="000000"/>
          <w:sz w:val="24"/>
          <w:szCs w:val="24"/>
          <w:rtl/>
        </w:rPr>
        <w:t xml:space="preserve"> - על כלי חדש שצריך טבילה לחטאת, ע"ע מעלות - וכן כל האוכלים וכל המשקים, אף על פי שהם טהורים, הרי הם לענין חטאת כאוכלים ומשקים המטמאים</w:t>
      </w:r>
      <w:r>
        <w:rPr>
          <w:rFonts w:ascii="David" w:hAnsi="David" w:cs="David"/>
          <w:color w:val="0000FF"/>
          <w:sz w:val="24"/>
          <w:szCs w:val="24"/>
          <w:vertAlign w:val="superscript"/>
          <w:rtl/>
        </w:rPr>
        <w:footnoteReference w:customMarkFollows="1" w:id="1043"/>
        <w:t>1043</w:t>
      </w:r>
      <w:r>
        <w:rPr>
          <w:rFonts w:ascii="David" w:hAnsi="David" w:cs="David"/>
          <w:color w:val="000000"/>
          <w:sz w:val="24"/>
          <w:szCs w:val="24"/>
          <w:rtl/>
        </w:rPr>
        <w:t>. וכן אותה שכתבו ראשונים שמי חטאת שנפלו נפסלו בהיסח הדעת, ומטמאים את הכלים לחטאת</w:t>
      </w:r>
      <w:r>
        <w:rPr>
          <w:rFonts w:ascii="David" w:hAnsi="David" w:cs="David"/>
          <w:color w:val="0000FF"/>
          <w:sz w:val="24"/>
          <w:szCs w:val="24"/>
          <w:vertAlign w:val="superscript"/>
          <w:rtl/>
        </w:rPr>
        <w:footnoteReference w:customMarkFollows="1" w:id="1044"/>
        <w:t>1044</w:t>
      </w:r>
      <w:r>
        <w:rPr>
          <w:rFonts w:ascii="David" w:hAnsi="David" w:cs="David"/>
          <w:color w:val="000000"/>
          <w:sz w:val="24"/>
          <w:szCs w:val="24"/>
          <w:rtl/>
        </w:rPr>
        <w:t xml:space="preserve"> - אף באופן שאינם מטמאים את האדם בטומאת מי חטאת</w:t>
      </w:r>
      <w:r>
        <w:rPr>
          <w:rFonts w:ascii="David" w:hAnsi="David" w:cs="David"/>
          <w:color w:val="0000FF"/>
          <w:sz w:val="24"/>
          <w:szCs w:val="24"/>
          <w:vertAlign w:val="superscript"/>
          <w:rtl/>
        </w:rPr>
        <w:footnoteReference w:customMarkFollows="1" w:id="1045"/>
        <w:t>1045</w:t>
      </w:r>
      <w:r>
        <w:rPr>
          <w:rFonts w:ascii="David" w:hAnsi="David" w:cs="David"/>
          <w:color w:val="000000"/>
          <w:sz w:val="24"/>
          <w:szCs w:val="24"/>
          <w:rtl/>
        </w:rPr>
        <w:t>, כגון שהוא טהור לחטאת, ומי חטאת הפסולים אינם מטמאים את הטהור לחטאת, לסוברים כן</w:t>
      </w:r>
      <w:r>
        <w:rPr>
          <w:rFonts w:ascii="David" w:hAnsi="David" w:cs="David"/>
          <w:color w:val="0000FF"/>
          <w:sz w:val="24"/>
          <w:szCs w:val="24"/>
          <w:vertAlign w:val="superscript"/>
          <w:rtl/>
        </w:rPr>
        <w:footnoteReference w:customMarkFollows="1" w:id="1046"/>
        <w:t>1046</w:t>
      </w:r>
      <w:r>
        <w:rPr>
          <w:rFonts w:ascii="David" w:hAnsi="David" w:cs="David"/>
          <w:color w:val="000000"/>
          <w:sz w:val="24"/>
          <w:szCs w:val="24"/>
          <w:rtl/>
        </w:rPr>
        <w:t xml:space="preserve"> - פירשו אחרונים שכיון שנפלו ונפסלו הסיח דעתו מלשמרם לטהרת חטאת, ומטמאים לחטאת כדין משקים טהורים, שהם טמאים לחטאת ומטמאים את הכלים, ומכל מקום אינם מטמאים את האדם</w:t>
      </w:r>
      <w:r>
        <w:rPr>
          <w:rFonts w:ascii="David" w:hAnsi="David" w:cs="David"/>
          <w:color w:val="0000FF"/>
          <w:sz w:val="24"/>
          <w:szCs w:val="24"/>
          <w:vertAlign w:val="superscript"/>
          <w:rtl/>
        </w:rPr>
        <w:footnoteReference w:customMarkFollows="1" w:id="1047"/>
        <w:t>1047</w:t>
      </w:r>
      <w:r>
        <w:rPr>
          <w:rFonts w:ascii="David" w:hAnsi="David" w:cs="David"/>
          <w:color w:val="000000"/>
          <w:sz w:val="24"/>
          <w:szCs w:val="24"/>
          <w:rtl/>
        </w:rPr>
        <w:t>. ויש מן התנאים סוברים שכל הטהור לתרומה טהור אף לחטאת</w:t>
      </w:r>
      <w:r>
        <w:rPr>
          <w:rFonts w:ascii="David" w:hAnsi="David" w:cs="David"/>
          <w:color w:val="0000FF"/>
          <w:sz w:val="24"/>
          <w:szCs w:val="24"/>
          <w:vertAlign w:val="superscript"/>
          <w:rtl/>
        </w:rPr>
        <w:footnoteReference w:customMarkFollows="1" w:id="1048"/>
        <w:t>1048</w:t>
      </w:r>
      <w:r>
        <w:rPr>
          <w:rFonts w:ascii="David" w:hAnsi="David" w:cs="David"/>
          <w:color w:val="000000"/>
          <w:sz w:val="24"/>
          <w:szCs w:val="24"/>
          <w:rtl/>
        </w:rPr>
        <w:t>, ואין הלכה כדבריהם</w:t>
      </w:r>
      <w:r>
        <w:rPr>
          <w:rFonts w:ascii="David" w:hAnsi="David" w:cs="David"/>
          <w:color w:val="0000FF"/>
          <w:sz w:val="24"/>
          <w:szCs w:val="24"/>
          <w:vertAlign w:val="superscript"/>
          <w:rtl/>
        </w:rPr>
        <w:footnoteReference w:customMarkFollows="1" w:id="1049"/>
        <w:t>1049</w:t>
      </w:r>
      <w:r>
        <w:rPr>
          <w:rFonts w:ascii="David" w:hAnsi="David" w:cs="David"/>
          <w:color w:val="000000"/>
          <w:sz w:val="24"/>
          <w:szCs w:val="24"/>
          <w:rtl/>
        </w:rPr>
        <w:t xml:space="preserve">. </w:t>
      </w:r>
    </w:p>
    <w:p w14:paraId="1EB4DE2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פרטי הדינים במעלות אלו, כגון איזה דין טומאה נתנו באדם ובכלים ובאוכלים ומשקים שאינם טהורים לחטאת, ובאלו אופנים נטמאים המים על ידם, ועל האופנים שהם חשובים שאינם טהורים לחטאת, ועל כך שאין מונים ראשון ושני בחטאת, ועל מעלות נוספות שעשו לטהרת חטאת, כגון שמי שנטמאו ידיו, נעשה כל גופו טמא לחטאת, וכן שכל הספיקות שתולים בהם את התרומה, ואין אוכלים ואין שורפים</w:t>
      </w:r>
      <w:r>
        <w:rPr>
          <w:rFonts w:ascii="David" w:hAnsi="David" w:cs="David"/>
          <w:color w:val="0000FF"/>
          <w:sz w:val="24"/>
          <w:szCs w:val="24"/>
          <w:vertAlign w:val="superscript"/>
          <w:rtl/>
        </w:rPr>
        <w:footnoteReference w:customMarkFollows="1" w:id="1050"/>
        <w:t>1050</w:t>
      </w:r>
      <w:r>
        <w:rPr>
          <w:rFonts w:ascii="David" w:hAnsi="David" w:cs="David"/>
          <w:color w:val="000000"/>
          <w:sz w:val="24"/>
          <w:szCs w:val="24"/>
          <w:rtl/>
        </w:rPr>
        <w:t xml:space="preserve">, אם נולדו ספיקות אלו במי חטאת הרי אלו נשפכים, ועל הטעמים שעשו מעלות לחטאת, ועל מעלות שעשו בין לחטאת ובין לקדשים, ע"ע מעלות וע' פרה אדומה. על השמירה הנדרשת למי חטאת, ועל הסוברים שאף עמי הארץ נאמנים על טהרת חטאת, ועל טעם הדבר, ועל פרטי הדין, ע"ע הנ"ל, וע' עם הארץ. על הסוברים שבגזירת הבא ראשו ורובו במים שאובים, החמירו בבא ראשו ורובו במי חטאת יותר משאר מים שאובים, שמצינו שעשו במי חטאת כמה מעלות, ואם החמירו כן אף במים שנתמלאו לחטאת ולא נתקדשו, ע"ע שמונה עשר דבר. </w:t>
      </w:r>
    </w:p>
    <w:p w14:paraId="1BBC7EC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[במחוברים על ידי השקה]</w:t>
      </w:r>
    </w:p>
    <w:p w14:paraId="295859A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הממלא מים מן המעיין בכלי לשם מי חטאת, והמים מחוברים עדיין למעיין, יש מן הראשונים שכתבו, שהם חשובים כמים תלושים לענין קבלת טומאה, ולא כמחוברים שאינם מקבלים טומאה</w:t>
      </w:r>
      <w:r>
        <w:rPr>
          <w:rFonts w:ascii="David" w:hAnsi="David" w:cs="David"/>
          <w:color w:val="0000FF"/>
          <w:sz w:val="24"/>
          <w:szCs w:val="24"/>
          <w:vertAlign w:val="superscript"/>
          <w:rtl/>
        </w:rPr>
        <w:footnoteReference w:customMarkFollows="1" w:id="1051"/>
        <w:t>1051</w:t>
      </w:r>
      <w:r>
        <w:rPr>
          <w:rFonts w:ascii="David" w:hAnsi="David" w:cs="David"/>
          <w:color w:val="000000"/>
          <w:sz w:val="24"/>
          <w:szCs w:val="24"/>
          <w:rtl/>
        </w:rPr>
        <w:t xml:space="preserve">, שדרשו: ונתן </w:t>
      </w:r>
    </w:p>
    <w:p w14:paraId="3D735E5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עליו מים חיים אל כלי</w:t>
      </w:r>
      <w:r>
        <w:rPr>
          <w:rFonts w:ascii="David" w:hAnsi="David" w:cs="David"/>
          <w:color w:val="0000FF"/>
          <w:sz w:val="24"/>
          <w:szCs w:val="24"/>
          <w:vertAlign w:val="superscript"/>
          <w:rtl/>
        </w:rPr>
        <w:footnoteReference w:customMarkFollows="1" w:id="1052"/>
        <w:t>1052</w:t>
      </w:r>
      <w:r>
        <w:rPr>
          <w:rFonts w:ascii="David" w:hAnsi="David" w:cs="David"/>
          <w:color w:val="000000"/>
          <w:sz w:val="24"/>
          <w:szCs w:val="24"/>
          <w:rtl/>
        </w:rPr>
        <w:t>, אף בשעה שהם מחוברים - שהרי צריך שתהיה חיותם בכלי</w:t>
      </w:r>
      <w:r>
        <w:rPr>
          <w:rFonts w:ascii="David" w:hAnsi="David" w:cs="David"/>
          <w:color w:val="0000FF"/>
          <w:sz w:val="24"/>
          <w:szCs w:val="24"/>
          <w:vertAlign w:val="superscript"/>
          <w:rtl/>
        </w:rPr>
        <w:footnoteReference w:customMarkFollows="1" w:id="1053"/>
        <w:t>1053</w:t>
      </w:r>
      <w:r>
        <w:rPr>
          <w:rFonts w:ascii="David" w:hAnsi="David" w:cs="David"/>
          <w:color w:val="000000"/>
          <w:sz w:val="24"/>
          <w:szCs w:val="24"/>
          <w:rtl/>
        </w:rPr>
        <w:t>, והמים שבתוך הכלי עומדים בשעת המילוי בחיבורם אל המעיין כעין השקה*</w:t>
      </w:r>
      <w:r>
        <w:rPr>
          <w:rFonts w:ascii="David" w:hAnsi="David" w:cs="David"/>
          <w:color w:val="0000FF"/>
          <w:sz w:val="24"/>
          <w:szCs w:val="24"/>
          <w:vertAlign w:val="superscript"/>
          <w:rtl/>
        </w:rPr>
        <w:footnoteReference w:customMarkFollows="1" w:id="1054"/>
        <w:t>1054</w:t>
      </w:r>
      <w:r>
        <w:rPr>
          <w:rFonts w:ascii="David" w:hAnsi="David" w:cs="David"/>
          <w:color w:val="000000"/>
          <w:sz w:val="24"/>
          <w:szCs w:val="24"/>
          <w:rtl/>
        </w:rPr>
        <w:t xml:space="preserve"> - נאמר בהם "ונתן", שמשמע שתלושים הם</w:t>
      </w:r>
      <w:r>
        <w:rPr>
          <w:rFonts w:ascii="David" w:hAnsi="David" w:cs="David"/>
          <w:color w:val="0000FF"/>
          <w:sz w:val="24"/>
          <w:szCs w:val="24"/>
          <w:vertAlign w:val="superscript"/>
          <w:rtl/>
        </w:rPr>
        <w:footnoteReference w:customMarkFollows="1" w:id="1055"/>
        <w:t>1055</w:t>
      </w:r>
      <w:r>
        <w:rPr>
          <w:rFonts w:ascii="David" w:hAnsi="David" w:cs="David"/>
          <w:color w:val="000000"/>
          <w:sz w:val="24"/>
          <w:szCs w:val="24"/>
          <w:rtl/>
        </w:rPr>
        <w:t>, שעשתה בהם תורה מעלה לעשותם כתלושים לענין קבלת טומאה</w:t>
      </w:r>
      <w:r>
        <w:rPr>
          <w:rFonts w:ascii="David" w:hAnsi="David" w:cs="David"/>
          <w:color w:val="0000FF"/>
          <w:sz w:val="24"/>
          <w:szCs w:val="24"/>
          <w:vertAlign w:val="superscript"/>
          <w:rtl/>
        </w:rPr>
        <w:footnoteReference w:customMarkFollows="1" w:id="1056"/>
        <w:t>1056</w:t>
      </w:r>
      <w:r>
        <w:rPr>
          <w:rFonts w:ascii="David" w:hAnsi="David" w:cs="David"/>
          <w:color w:val="000000"/>
          <w:sz w:val="24"/>
          <w:szCs w:val="24"/>
          <w:rtl/>
        </w:rPr>
        <w:t>, מפני שממלאים אותם לצורך מי חטאת</w:t>
      </w:r>
      <w:r>
        <w:rPr>
          <w:rFonts w:ascii="David" w:hAnsi="David" w:cs="David"/>
          <w:color w:val="0000FF"/>
          <w:sz w:val="24"/>
          <w:szCs w:val="24"/>
          <w:vertAlign w:val="superscript"/>
          <w:rtl/>
        </w:rPr>
        <w:footnoteReference w:customMarkFollows="1" w:id="1057"/>
        <w:t>1057</w:t>
      </w:r>
      <w:r>
        <w:rPr>
          <w:rFonts w:ascii="David" w:hAnsi="David" w:cs="David"/>
          <w:color w:val="000000"/>
          <w:sz w:val="24"/>
          <w:szCs w:val="24"/>
          <w:rtl/>
        </w:rPr>
        <w:t>. ויש מן הראשונים שנראה מדבריהם שאין חילוק בין מי חטאת לשאר מים לענין קבלת טומאה בעודם מחוברים</w:t>
      </w:r>
      <w:r>
        <w:rPr>
          <w:rFonts w:ascii="David" w:hAnsi="David" w:cs="David"/>
          <w:color w:val="0000FF"/>
          <w:sz w:val="24"/>
          <w:szCs w:val="24"/>
          <w:vertAlign w:val="superscript"/>
          <w:rtl/>
        </w:rPr>
        <w:footnoteReference w:customMarkFollows="1" w:id="1058"/>
        <w:t>1058</w:t>
      </w:r>
      <w:r>
        <w:rPr>
          <w:rFonts w:ascii="David" w:hAnsi="David" w:cs="David"/>
          <w:color w:val="000000"/>
          <w:sz w:val="24"/>
          <w:szCs w:val="24"/>
          <w:rtl/>
        </w:rPr>
        <w:t xml:space="preserve">. </w:t>
      </w:r>
    </w:p>
    <w:p w14:paraId="0DF6015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[טומאתם]</w:t>
      </w:r>
    </w:p>
    <w:p w14:paraId="319D93F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ו. לטמא אחרים.</w:t>
      </w:r>
      <w:r>
        <w:rPr>
          <w:rFonts w:ascii="David" w:hAnsi="David" w:cs="David"/>
          <w:color w:val="000000"/>
          <w:sz w:val="24"/>
          <w:szCs w:val="24"/>
          <w:rtl/>
        </w:rPr>
        <w:t xml:space="preserve"> מי חטאת, הרי הם אב הטומאה לטמא אדם וכלים</w:t>
      </w:r>
      <w:r>
        <w:rPr>
          <w:rFonts w:ascii="David" w:hAnsi="David" w:cs="David"/>
          <w:color w:val="0000FF"/>
          <w:sz w:val="24"/>
          <w:szCs w:val="24"/>
          <w:vertAlign w:val="superscript"/>
          <w:rtl/>
        </w:rPr>
        <w:footnoteReference w:customMarkFollows="1" w:id="1059"/>
        <w:t>1059</w:t>
      </w:r>
      <w:r>
        <w:rPr>
          <w:rFonts w:ascii="David" w:hAnsi="David" w:cs="David"/>
          <w:color w:val="000000"/>
          <w:sz w:val="24"/>
          <w:szCs w:val="24"/>
          <w:rtl/>
        </w:rPr>
        <w:t>, שנאמר: והנוגע במי הנדה יטמא עד הערב</w:t>
      </w:r>
      <w:r>
        <w:rPr>
          <w:rFonts w:ascii="David" w:hAnsi="David" w:cs="David"/>
          <w:color w:val="0000FF"/>
          <w:sz w:val="24"/>
          <w:szCs w:val="24"/>
          <w:vertAlign w:val="superscript"/>
          <w:rtl/>
        </w:rPr>
        <w:footnoteReference w:customMarkFollows="1" w:id="1060"/>
        <w:t>1060</w:t>
      </w:r>
      <w:r>
        <w:rPr>
          <w:rFonts w:ascii="David" w:hAnsi="David" w:cs="David"/>
          <w:color w:val="000000"/>
          <w:sz w:val="24"/>
          <w:szCs w:val="24"/>
          <w:rtl/>
        </w:rPr>
        <w:t>, ואין אדם מקבל טומאה אלא מאב הטומאה</w:t>
      </w:r>
      <w:r>
        <w:rPr>
          <w:rFonts w:ascii="David" w:hAnsi="David" w:cs="David"/>
          <w:color w:val="0000FF"/>
          <w:sz w:val="24"/>
          <w:szCs w:val="24"/>
          <w:vertAlign w:val="superscript"/>
          <w:rtl/>
        </w:rPr>
        <w:footnoteReference w:customMarkFollows="1" w:id="1061"/>
        <w:t>1061</w:t>
      </w:r>
      <w:r>
        <w:rPr>
          <w:rFonts w:ascii="David" w:hAnsi="David" w:cs="David"/>
          <w:color w:val="000000"/>
          <w:sz w:val="24"/>
          <w:szCs w:val="24"/>
          <w:rtl/>
        </w:rPr>
        <w:t>, ויש מן הראשונים שפירשו שזהו שקראם הכתוב "מי נדה", לומר שהם אב הטומאה</w:t>
      </w:r>
      <w:r>
        <w:rPr>
          <w:rFonts w:ascii="David" w:hAnsi="David" w:cs="David"/>
          <w:color w:val="0000FF"/>
          <w:sz w:val="24"/>
          <w:szCs w:val="24"/>
          <w:vertAlign w:val="superscript"/>
          <w:rtl/>
        </w:rPr>
        <w:footnoteReference w:customMarkFollows="1" w:id="1062"/>
        <w:t>1062</w:t>
      </w:r>
      <w:r>
        <w:rPr>
          <w:rFonts w:ascii="David" w:hAnsi="David" w:cs="David"/>
          <w:color w:val="000000"/>
          <w:sz w:val="24"/>
          <w:szCs w:val="24"/>
          <w:rtl/>
        </w:rPr>
        <w:t>. ומטמאים אף אוכלים ומשקים</w:t>
      </w:r>
      <w:r>
        <w:rPr>
          <w:rFonts w:ascii="David" w:hAnsi="David" w:cs="David"/>
          <w:color w:val="0000FF"/>
          <w:sz w:val="24"/>
          <w:szCs w:val="24"/>
          <w:vertAlign w:val="superscript"/>
          <w:rtl/>
        </w:rPr>
        <w:footnoteReference w:customMarkFollows="1" w:id="1063"/>
        <w:t>1063</w:t>
      </w:r>
      <w:r>
        <w:rPr>
          <w:rFonts w:ascii="David" w:hAnsi="David" w:cs="David"/>
          <w:color w:val="000000"/>
          <w:sz w:val="24"/>
          <w:szCs w:val="24"/>
          <w:rtl/>
        </w:rPr>
        <w:t>. ונחלקו אחרונים בגדר טומאתם: יש שכתבו, שהמים עצמם טהורים הם, וגזירת הכתוב היא שהנוגע בהם נעשה טמא</w:t>
      </w:r>
      <w:r>
        <w:rPr>
          <w:rFonts w:ascii="David" w:hAnsi="David" w:cs="David"/>
          <w:color w:val="0000FF"/>
          <w:sz w:val="24"/>
          <w:szCs w:val="24"/>
          <w:vertAlign w:val="superscript"/>
          <w:rtl/>
        </w:rPr>
        <w:footnoteReference w:customMarkFollows="1" w:id="1064"/>
        <w:t>1064</w:t>
      </w:r>
      <w:r>
        <w:rPr>
          <w:rFonts w:ascii="David" w:hAnsi="David" w:cs="David"/>
          <w:color w:val="000000"/>
          <w:sz w:val="24"/>
          <w:szCs w:val="24"/>
          <w:rtl/>
        </w:rPr>
        <w:t>, שטימאה תורה המתעסקים בהם, ובכלל זה הנוגע בהם</w:t>
      </w:r>
      <w:r>
        <w:rPr>
          <w:rFonts w:ascii="David" w:hAnsi="David" w:cs="David"/>
          <w:color w:val="0000FF"/>
          <w:sz w:val="24"/>
          <w:szCs w:val="24"/>
          <w:vertAlign w:val="superscript"/>
          <w:rtl/>
        </w:rPr>
        <w:footnoteReference w:customMarkFollows="1" w:id="1065"/>
        <w:t>1065</w:t>
      </w:r>
      <w:r>
        <w:rPr>
          <w:rFonts w:ascii="David" w:hAnsi="David" w:cs="David"/>
          <w:color w:val="000000"/>
          <w:sz w:val="24"/>
          <w:szCs w:val="24"/>
          <w:rtl/>
        </w:rPr>
        <w:t>, ויש סוברים שהמים עצמם טמאים הם</w:t>
      </w:r>
      <w:r>
        <w:rPr>
          <w:rFonts w:ascii="David" w:hAnsi="David" w:cs="David"/>
          <w:color w:val="0000FF"/>
          <w:sz w:val="24"/>
          <w:szCs w:val="24"/>
          <w:vertAlign w:val="superscript"/>
          <w:rtl/>
        </w:rPr>
        <w:footnoteReference w:customMarkFollows="1" w:id="1066"/>
        <w:t>1066</w:t>
      </w:r>
      <w:r>
        <w:rPr>
          <w:rFonts w:ascii="David" w:hAnsi="David" w:cs="David"/>
          <w:color w:val="000000"/>
          <w:sz w:val="24"/>
          <w:szCs w:val="24"/>
          <w:rtl/>
        </w:rPr>
        <w:t>, וכן כתבו אחרונים שאסור להכניס מי חטאת למקדש, שהוא כמכניס שרץ למקדש</w:t>
      </w:r>
      <w:r>
        <w:rPr>
          <w:rFonts w:ascii="David" w:hAnsi="David" w:cs="David"/>
          <w:color w:val="0000FF"/>
          <w:sz w:val="24"/>
          <w:szCs w:val="24"/>
          <w:vertAlign w:val="superscript"/>
          <w:rtl/>
        </w:rPr>
        <w:footnoteReference w:customMarkFollows="1" w:id="1067"/>
        <w:t>1067</w:t>
      </w:r>
      <w:r>
        <w:rPr>
          <w:rFonts w:ascii="David" w:hAnsi="David" w:cs="David"/>
          <w:color w:val="000000"/>
          <w:sz w:val="24"/>
          <w:szCs w:val="24"/>
          <w:rtl/>
        </w:rPr>
        <w:t>, על הבדלים נוספים בדין בין השיטות, עי' להלן</w:t>
      </w:r>
      <w:r>
        <w:rPr>
          <w:rFonts w:ascii="David" w:hAnsi="David" w:cs="David"/>
          <w:color w:val="0000FF"/>
          <w:sz w:val="24"/>
          <w:szCs w:val="24"/>
          <w:vertAlign w:val="superscript"/>
          <w:rtl/>
        </w:rPr>
        <w:footnoteReference w:customMarkFollows="1" w:id="1068"/>
        <w:t>1068</w:t>
      </w:r>
      <w:r>
        <w:rPr>
          <w:rFonts w:ascii="David" w:hAnsi="David" w:cs="David"/>
          <w:color w:val="000000"/>
          <w:sz w:val="24"/>
          <w:szCs w:val="24"/>
          <w:rtl/>
        </w:rPr>
        <w:t>. על אופני קבלת הטומאה, ועל דרגות הטומאה, עי' להלן. על כך שדינם כמים טמאים, שהם מכשירים ומטמאים כאחד</w:t>
      </w:r>
      <w:r>
        <w:rPr>
          <w:rFonts w:ascii="David" w:hAnsi="David" w:cs="David"/>
          <w:color w:val="0000FF"/>
          <w:sz w:val="24"/>
          <w:szCs w:val="24"/>
          <w:vertAlign w:val="superscript"/>
          <w:rtl/>
        </w:rPr>
        <w:footnoteReference w:customMarkFollows="1" w:id="1069"/>
        <w:t>1069</w:t>
      </w:r>
      <w:r>
        <w:rPr>
          <w:rFonts w:ascii="David" w:hAnsi="David" w:cs="David"/>
          <w:color w:val="000000"/>
          <w:sz w:val="24"/>
          <w:szCs w:val="24"/>
          <w:rtl/>
        </w:rPr>
        <w:t>, ושהם מכשירים אף על פי שיש להם שם לווי, לסוברים כן</w:t>
      </w:r>
      <w:r>
        <w:rPr>
          <w:rFonts w:ascii="David" w:hAnsi="David" w:cs="David"/>
          <w:color w:val="0000FF"/>
          <w:sz w:val="24"/>
          <w:szCs w:val="24"/>
          <w:vertAlign w:val="superscript"/>
          <w:rtl/>
        </w:rPr>
        <w:footnoteReference w:customMarkFollows="1" w:id="1070"/>
        <w:t>1070</w:t>
      </w:r>
      <w:r>
        <w:rPr>
          <w:rFonts w:ascii="David" w:hAnsi="David" w:cs="David"/>
          <w:color w:val="000000"/>
          <w:sz w:val="24"/>
          <w:szCs w:val="24"/>
          <w:rtl/>
        </w:rPr>
        <w:t>, ע"ע הכשר</w:t>
      </w:r>
      <w:r>
        <w:rPr>
          <w:rFonts w:ascii="David" w:hAnsi="David" w:cs="David"/>
          <w:color w:val="0000FF"/>
          <w:sz w:val="24"/>
          <w:szCs w:val="24"/>
          <w:vertAlign w:val="superscript"/>
          <w:rtl/>
        </w:rPr>
        <w:footnoteReference w:customMarkFollows="1" w:id="1071"/>
        <w:t>1071</w:t>
      </w:r>
      <w:r>
        <w:rPr>
          <w:rFonts w:ascii="David" w:hAnsi="David" w:cs="David"/>
          <w:color w:val="000000"/>
          <w:sz w:val="24"/>
          <w:szCs w:val="24"/>
          <w:rtl/>
        </w:rPr>
        <w:t>. על מחלוקת הראשונים, אם דיני טומאה, ובכללם דין טומאת מי חטאת, נמנים במנין-המצוות*, ואם הם נמנים כמצוה בפני עצמה, או כחלק ממצות מי חטאת, ועל הסוברים שטומאת מגעם וטומאת משאם נמנות כשתי מצוות, ע"ע מנין המצוות</w:t>
      </w:r>
      <w:r>
        <w:rPr>
          <w:rFonts w:ascii="David" w:hAnsi="David" w:cs="David"/>
          <w:color w:val="0000FF"/>
          <w:sz w:val="24"/>
          <w:szCs w:val="24"/>
          <w:vertAlign w:val="superscript"/>
          <w:rtl/>
        </w:rPr>
        <w:footnoteReference w:customMarkFollows="1" w:id="1072"/>
        <w:t>1072</w:t>
      </w:r>
      <w:r>
        <w:rPr>
          <w:rFonts w:ascii="David" w:hAnsi="David" w:cs="David"/>
          <w:color w:val="000000"/>
          <w:sz w:val="24"/>
          <w:szCs w:val="24"/>
          <w:rtl/>
        </w:rPr>
        <w:t xml:space="preserve">. </w:t>
      </w:r>
    </w:p>
    <w:p w14:paraId="054210C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[אופני הטומאה]</w:t>
      </w:r>
    </w:p>
    <w:p w14:paraId="528B201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מטמאים אדם וכלים במגע*</w:t>
      </w:r>
      <w:r>
        <w:rPr>
          <w:rFonts w:ascii="David" w:hAnsi="David" w:cs="David"/>
          <w:color w:val="0000FF"/>
          <w:sz w:val="24"/>
          <w:szCs w:val="24"/>
          <w:vertAlign w:val="superscript"/>
          <w:rtl/>
        </w:rPr>
        <w:footnoteReference w:customMarkFollows="1" w:id="1073"/>
        <w:t>1073</w:t>
      </w:r>
      <w:r>
        <w:rPr>
          <w:rFonts w:ascii="David" w:hAnsi="David" w:cs="David"/>
          <w:color w:val="000000"/>
          <w:sz w:val="24"/>
          <w:szCs w:val="24"/>
          <w:rtl/>
        </w:rPr>
        <w:t>, שנאמר: והנוגע במי הנדה יטמא</w:t>
      </w:r>
      <w:r>
        <w:rPr>
          <w:rFonts w:ascii="David" w:hAnsi="David" w:cs="David"/>
          <w:color w:val="0000FF"/>
          <w:sz w:val="24"/>
          <w:szCs w:val="24"/>
          <w:vertAlign w:val="superscript"/>
          <w:rtl/>
        </w:rPr>
        <w:footnoteReference w:customMarkFollows="1" w:id="1074"/>
        <w:t>1074</w:t>
      </w:r>
      <w:r>
        <w:rPr>
          <w:rFonts w:ascii="David" w:hAnsi="David" w:cs="David"/>
          <w:color w:val="000000"/>
          <w:sz w:val="24"/>
          <w:szCs w:val="24"/>
          <w:rtl/>
        </w:rPr>
        <w:t>, וכיון שמטמא אדם מטמא כלים, שאין לך דבר המטמא אדם שאינו מטמא כלים</w:t>
      </w:r>
      <w:r>
        <w:rPr>
          <w:rFonts w:ascii="David" w:hAnsi="David" w:cs="David"/>
          <w:color w:val="0000FF"/>
          <w:sz w:val="24"/>
          <w:szCs w:val="24"/>
          <w:vertAlign w:val="superscript"/>
          <w:rtl/>
        </w:rPr>
        <w:footnoteReference w:customMarkFollows="1" w:id="1075"/>
        <w:t>1075</w:t>
      </w:r>
      <w:r>
        <w:rPr>
          <w:rFonts w:ascii="David" w:hAnsi="David" w:cs="David"/>
          <w:color w:val="000000"/>
          <w:sz w:val="24"/>
          <w:szCs w:val="24"/>
          <w:rtl/>
        </w:rPr>
        <w:t xml:space="preserve"> - ויש מן הראשונים שכתבו שמטמאים הם אף את הכלי שהם בתוכו</w:t>
      </w:r>
      <w:r>
        <w:rPr>
          <w:rFonts w:ascii="David" w:hAnsi="David" w:cs="David"/>
          <w:color w:val="0000FF"/>
          <w:sz w:val="24"/>
          <w:szCs w:val="24"/>
          <w:vertAlign w:val="superscript"/>
          <w:rtl/>
        </w:rPr>
        <w:footnoteReference w:customMarkFollows="1" w:id="1076"/>
        <w:t>1076</w:t>
      </w:r>
      <w:r>
        <w:rPr>
          <w:rFonts w:ascii="David" w:hAnsi="David" w:cs="David"/>
          <w:color w:val="000000"/>
          <w:sz w:val="24"/>
          <w:szCs w:val="24"/>
          <w:rtl/>
        </w:rPr>
        <w:t xml:space="preserve">, על הסוברים שמי </w:t>
      </w:r>
    </w:p>
    <w:p w14:paraId="3E5A5B0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חטאת אינם מטמאים לחזור ולטמא לחטאת, עי' להלן</w:t>
      </w:r>
      <w:r>
        <w:rPr>
          <w:rFonts w:ascii="David" w:hAnsi="David" w:cs="David"/>
          <w:color w:val="0000FF"/>
          <w:sz w:val="24"/>
          <w:szCs w:val="24"/>
          <w:vertAlign w:val="superscript"/>
          <w:rtl/>
        </w:rPr>
        <w:footnoteReference w:customMarkFollows="1" w:id="1077"/>
        <w:t>1077</w:t>
      </w:r>
      <w:r>
        <w:rPr>
          <w:rFonts w:ascii="David" w:hAnsi="David" w:cs="David"/>
          <w:color w:val="000000"/>
          <w:sz w:val="24"/>
          <w:szCs w:val="24"/>
          <w:rtl/>
        </w:rPr>
        <w:t>, על הסוברים שאינם מטמאים בנגיעה לצורך, עי' להלן</w:t>
      </w:r>
      <w:r>
        <w:rPr>
          <w:rFonts w:ascii="David" w:hAnsi="David" w:cs="David"/>
          <w:color w:val="0000FF"/>
          <w:sz w:val="24"/>
          <w:szCs w:val="24"/>
          <w:vertAlign w:val="superscript"/>
          <w:rtl/>
        </w:rPr>
        <w:footnoteReference w:customMarkFollows="1" w:id="1078"/>
        <w:t>1078</w:t>
      </w:r>
      <w:r>
        <w:rPr>
          <w:rFonts w:ascii="David" w:hAnsi="David" w:cs="David"/>
          <w:color w:val="000000"/>
          <w:sz w:val="24"/>
          <w:szCs w:val="24"/>
          <w:rtl/>
        </w:rPr>
        <w:t xml:space="preserve"> - וכן מטמאים כלי-חרס* באוירו</w:t>
      </w:r>
      <w:r>
        <w:rPr>
          <w:rFonts w:ascii="David" w:hAnsi="David" w:cs="David"/>
          <w:color w:val="0000FF"/>
          <w:sz w:val="24"/>
          <w:szCs w:val="24"/>
          <w:vertAlign w:val="superscript"/>
          <w:rtl/>
        </w:rPr>
        <w:footnoteReference w:customMarkFollows="1" w:id="1079"/>
        <w:t>1079</w:t>
      </w:r>
      <w:r>
        <w:rPr>
          <w:rFonts w:ascii="David" w:hAnsi="David" w:cs="David"/>
          <w:color w:val="000000"/>
          <w:sz w:val="24"/>
          <w:szCs w:val="24"/>
          <w:rtl/>
        </w:rPr>
        <w:t>, שכלי חרס אינו מקבל טומאה במגע, אלא בביאת הטומאה לאוירו</w:t>
      </w:r>
      <w:r>
        <w:rPr>
          <w:rFonts w:ascii="David" w:hAnsi="David" w:cs="David"/>
          <w:color w:val="0000FF"/>
          <w:sz w:val="24"/>
          <w:szCs w:val="24"/>
          <w:vertAlign w:val="superscript"/>
          <w:rtl/>
        </w:rPr>
        <w:footnoteReference w:customMarkFollows="1" w:id="1080"/>
        <w:t>1080</w:t>
      </w:r>
      <w:r>
        <w:rPr>
          <w:rFonts w:ascii="David" w:hAnsi="David" w:cs="David"/>
          <w:color w:val="000000"/>
          <w:sz w:val="24"/>
          <w:szCs w:val="24"/>
          <w:rtl/>
        </w:rPr>
        <w:t>. ואף מטמאים מי חטאת במשא* את האדם הנושא אותם</w:t>
      </w:r>
      <w:r>
        <w:rPr>
          <w:rFonts w:ascii="David" w:hAnsi="David" w:cs="David"/>
          <w:color w:val="0000FF"/>
          <w:sz w:val="24"/>
          <w:szCs w:val="24"/>
          <w:vertAlign w:val="superscript"/>
          <w:rtl/>
        </w:rPr>
        <w:footnoteReference w:customMarkFollows="1" w:id="1081"/>
        <w:t>1081</w:t>
      </w:r>
      <w:r>
        <w:rPr>
          <w:rFonts w:ascii="David" w:hAnsi="David" w:cs="David"/>
          <w:color w:val="000000"/>
          <w:sz w:val="24"/>
          <w:szCs w:val="24"/>
          <w:rtl/>
        </w:rPr>
        <w:t>, שנאמר: ומזה מי הנדה יכבס בגדיו</w:t>
      </w:r>
      <w:r>
        <w:rPr>
          <w:rFonts w:ascii="David" w:hAnsi="David" w:cs="David"/>
          <w:color w:val="0000FF"/>
          <w:sz w:val="24"/>
          <w:szCs w:val="24"/>
          <w:vertAlign w:val="superscript"/>
          <w:rtl/>
        </w:rPr>
        <w:footnoteReference w:customMarkFollows="1" w:id="1082"/>
        <w:t>1082</w:t>
      </w:r>
      <w:r>
        <w:rPr>
          <w:rFonts w:ascii="David" w:hAnsi="David" w:cs="David"/>
          <w:color w:val="000000"/>
          <w:sz w:val="24"/>
          <w:szCs w:val="24"/>
          <w:rtl/>
        </w:rPr>
        <w:t>, אין מזה אלא נושא</w:t>
      </w:r>
      <w:r>
        <w:rPr>
          <w:rFonts w:ascii="David" w:hAnsi="David" w:cs="David"/>
          <w:color w:val="0000FF"/>
          <w:sz w:val="24"/>
          <w:szCs w:val="24"/>
          <w:vertAlign w:val="superscript"/>
          <w:rtl/>
        </w:rPr>
        <w:footnoteReference w:customMarkFollows="1" w:id="1083"/>
        <w:t>1083</w:t>
      </w:r>
      <w:r>
        <w:rPr>
          <w:rFonts w:ascii="David" w:hAnsi="David" w:cs="David"/>
          <w:color w:val="000000"/>
          <w:sz w:val="24"/>
          <w:szCs w:val="24"/>
          <w:rtl/>
        </w:rPr>
        <w:t>, על הדרך שמתפרשת תיבת "מזה" לענין משא, עי' להלן</w:t>
      </w:r>
      <w:r>
        <w:rPr>
          <w:rFonts w:ascii="David" w:hAnsi="David" w:cs="David"/>
          <w:color w:val="0000FF"/>
          <w:sz w:val="24"/>
          <w:szCs w:val="24"/>
          <w:vertAlign w:val="superscript"/>
          <w:rtl/>
        </w:rPr>
        <w:footnoteReference w:customMarkFollows="1" w:id="1084"/>
        <w:t>1084</w:t>
      </w:r>
      <w:r>
        <w:rPr>
          <w:rFonts w:ascii="David" w:hAnsi="David" w:cs="David"/>
          <w:color w:val="000000"/>
          <w:sz w:val="24"/>
          <w:szCs w:val="24"/>
          <w:rtl/>
        </w:rPr>
        <w:t>. שאין לפרש הכתוב לענין המזה על הטמא לטהרו</w:t>
      </w:r>
      <w:r>
        <w:rPr>
          <w:rFonts w:ascii="David" w:hAnsi="David" w:cs="David"/>
          <w:color w:val="0000FF"/>
          <w:sz w:val="24"/>
          <w:szCs w:val="24"/>
          <w:vertAlign w:val="superscript"/>
          <w:rtl/>
        </w:rPr>
        <w:footnoteReference w:customMarkFollows="1" w:id="1085"/>
        <w:t>1085</w:t>
      </w:r>
      <w:r>
        <w:rPr>
          <w:rFonts w:ascii="David" w:hAnsi="David" w:cs="David"/>
          <w:color w:val="000000"/>
          <w:sz w:val="24"/>
          <w:szCs w:val="24"/>
          <w:rtl/>
        </w:rPr>
        <w:t>, מפני שנאמר: והזה הטהור על הטמא</w:t>
      </w:r>
      <w:r>
        <w:rPr>
          <w:rFonts w:ascii="David" w:hAnsi="David" w:cs="David"/>
          <w:color w:val="0000FF"/>
          <w:sz w:val="24"/>
          <w:szCs w:val="24"/>
          <w:vertAlign w:val="superscript"/>
          <w:rtl/>
        </w:rPr>
        <w:footnoteReference w:customMarkFollows="1" w:id="1086"/>
        <w:t>1086</w:t>
      </w:r>
      <w:r>
        <w:rPr>
          <w:rFonts w:ascii="David" w:hAnsi="David" w:cs="David"/>
          <w:color w:val="000000"/>
          <w:sz w:val="24"/>
          <w:szCs w:val="24"/>
          <w:rtl/>
        </w:rPr>
        <w:t>, הרי שאף לאחר שהיזה קראו הכתוב טהור</w:t>
      </w:r>
      <w:r>
        <w:rPr>
          <w:rFonts w:ascii="David" w:hAnsi="David" w:cs="David"/>
          <w:color w:val="0000FF"/>
          <w:sz w:val="24"/>
          <w:szCs w:val="24"/>
          <w:vertAlign w:val="superscript"/>
          <w:rtl/>
        </w:rPr>
        <w:footnoteReference w:customMarkFollows="1" w:id="1087"/>
        <w:t>1087</w:t>
      </w:r>
      <w:r>
        <w:rPr>
          <w:rFonts w:ascii="David" w:hAnsi="David" w:cs="David"/>
          <w:color w:val="000000"/>
          <w:sz w:val="24"/>
          <w:szCs w:val="24"/>
          <w:rtl/>
        </w:rPr>
        <w:t>, או שלא היה צריך לומר "הטהור", שהרי הזאה צריכה איש טהור</w:t>
      </w:r>
      <w:r>
        <w:rPr>
          <w:rFonts w:ascii="David" w:hAnsi="David" w:cs="David"/>
          <w:color w:val="0000FF"/>
          <w:sz w:val="24"/>
          <w:szCs w:val="24"/>
          <w:vertAlign w:val="superscript"/>
          <w:rtl/>
        </w:rPr>
        <w:footnoteReference w:customMarkFollows="1" w:id="1088"/>
        <w:t>1088</w:t>
      </w:r>
      <w:r>
        <w:rPr>
          <w:rFonts w:ascii="David" w:hAnsi="David" w:cs="David"/>
          <w:color w:val="000000"/>
          <w:sz w:val="24"/>
          <w:szCs w:val="24"/>
          <w:rtl/>
        </w:rPr>
        <w:t>, ולא בא הכתוב אלא להשמיע שאינו מקבל טומאה על ידי הזאה</w:t>
      </w:r>
      <w:r>
        <w:rPr>
          <w:rFonts w:ascii="David" w:hAnsi="David" w:cs="David"/>
          <w:color w:val="0000FF"/>
          <w:sz w:val="24"/>
          <w:szCs w:val="24"/>
          <w:vertAlign w:val="superscript"/>
          <w:rtl/>
        </w:rPr>
        <w:footnoteReference w:customMarkFollows="1" w:id="1089"/>
        <w:t>1089</w:t>
      </w:r>
      <w:r>
        <w:rPr>
          <w:rFonts w:ascii="David" w:hAnsi="David" w:cs="David"/>
          <w:color w:val="000000"/>
          <w:sz w:val="24"/>
          <w:szCs w:val="24"/>
          <w:rtl/>
        </w:rPr>
        <w:t>, ויש שכתבו שקל וחומר הוא, אם טיהר את הטמא בהזאתו, קל וחומר שיהיה הוא טהור</w:t>
      </w:r>
      <w:r>
        <w:rPr>
          <w:rFonts w:ascii="David" w:hAnsi="David" w:cs="David"/>
          <w:color w:val="0000FF"/>
          <w:sz w:val="24"/>
          <w:szCs w:val="24"/>
          <w:vertAlign w:val="superscript"/>
          <w:rtl/>
        </w:rPr>
        <w:footnoteReference w:customMarkFollows="1" w:id="1090"/>
        <w:t>1090</w:t>
      </w:r>
      <w:r>
        <w:rPr>
          <w:rFonts w:ascii="David" w:hAnsi="David" w:cs="David"/>
          <w:color w:val="000000"/>
          <w:sz w:val="24"/>
          <w:szCs w:val="24"/>
          <w:rtl/>
        </w:rPr>
        <w:t>, ויש שכתבו, שכיון שלצורך מצוה הוא נוגע, סברא הוא שיהיה טהור</w:t>
      </w:r>
      <w:r>
        <w:rPr>
          <w:rFonts w:ascii="David" w:hAnsi="David" w:cs="David"/>
          <w:color w:val="0000FF"/>
          <w:sz w:val="24"/>
          <w:szCs w:val="24"/>
          <w:vertAlign w:val="superscript"/>
          <w:rtl/>
        </w:rPr>
        <w:footnoteReference w:customMarkFollows="1" w:id="1091"/>
        <w:t>1091</w:t>
      </w:r>
      <w:r>
        <w:rPr>
          <w:rFonts w:ascii="David" w:hAnsi="David" w:cs="David"/>
          <w:color w:val="000000"/>
          <w:sz w:val="24"/>
          <w:szCs w:val="24"/>
          <w:rtl/>
        </w:rPr>
        <w:t>. וכן אין לפרש הכתוב לענין הנוגע במי חטאת, שהרי נוגע כבר נאמר</w:t>
      </w:r>
      <w:r>
        <w:rPr>
          <w:rFonts w:ascii="David" w:hAnsi="David" w:cs="David"/>
          <w:color w:val="0000FF"/>
          <w:sz w:val="24"/>
          <w:szCs w:val="24"/>
          <w:vertAlign w:val="superscript"/>
          <w:rtl/>
        </w:rPr>
        <w:footnoteReference w:customMarkFollows="1" w:id="1092"/>
        <w:t>1092</w:t>
      </w:r>
      <w:r>
        <w:rPr>
          <w:rFonts w:ascii="David" w:hAnsi="David" w:cs="David"/>
          <w:color w:val="000000"/>
          <w:sz w:val="24"/>
          <w:szCs w:val="24"/>
          <w:rtl/>
        </w:rPr>
        <w:t>, ועוד, שהמזה שבכתוב טעון כיבוס בגדים, ונוגע אינו טעון כיבוס בגדים</w:t>
      </w:r>
      <w:r>
        <w:rPr>
          <w:rFonts w:ascii="David" w:hAnsi="David" w:cs="David"/>
          <w:color w:val="0000FF"/>
          <w:sz w:val="24"/>
          <w:szCs w:val="24"/>
          <w:vertAlign w:val="superscript"/>
          <w:rtl/>
        </w:rPr>
        <w:footnoteReference w:customMarkFollows="1" w:id="1093"/>
        <w:t>1093</w:t>
      </w:r>
      <w:r>
        <w:rPr>
          <w:rFonts w:ascii="David" w:hAnsi="David" w:cs="David"/>
          <w:color w:val="000000"/>
          <w:sz w:val="24"/>
          <w:szCs w:val="24"/>
          <w:rtl/>
        </w:rPr>
        <w:t>. ואף על פי שלא נאמר בכתוב "נושא" אלא "מזה", פירשו ראשונים, שכוונת הכתוב לעושה כעין מזה, שהוא נושא</w:t>
      </w:r>
      <w:r>
        <w:rPr>
          <w:rFonts w:ascii="David" w:hAnsi="David" w:cs="David"/>
          <w:color w:val="0000FF"/>
          <w:sz w:val="24"/>
          <w:szCs w:val="24"/>
          <w:vertAlign w:val="superscript"/>
          <w:rtl/>
        </w:rPr>
        <w:footnoteReference w:customMarkFollows="1" w:id="1094"/>
        <w:t>1094</w:t>
      </w:r>
      <w:r>
        <w:rPr>
          <w:rFonts w:ascii="David" w:hAnsi="David" w:cs="David"/>
          <w:color w:val="000000"/>
          <w:sz w:val="24"/>
          <w:szCs w:val="24"/>
          <w:rtl/>
        </w:rPr>
        <w:t>, ויש מן הראשונים שכתבו, שלשון "מזה מי הנדה" פירושו "הזיית מי הנדה" - שאינו שם הפועל, אלא שם הפעולה</w:t>
      </w:r>
      <w:r>
        <w:rPr>
          <w:rFonts w:ascii="David" w:hAnsi="David" w:cs="David"/>
          <w:color w:val="0000FF"/>
          <w:sz w:val="24"/>
          <w:szCs w:val="24"/>
          <w:vertAlign w:val="superscript"/>
          <w:rtl/>
        </w:rPr>
        <w:footnoteReference w:customMarkFollows="1" w:id="1095"/>
        <w:t>1095</w:t>
      </w:r>
      <w:r>
        <w:rPr>
          <w:rFonts w:ascii="David" w:hAnsi="David" w:cs="David"/>
          <w:color w:val="000000"/>
          <w:sz w:val="24"/>
          <w:szCs w:val="24"/>
          <w:rtl/>
        </w:rPr>
        <w:t xml:space="preserve"> - ובא הכתוב לומר שיש בהזיית מי הנדה טומאה, ואפשר להעמידה בנושא</w:t>
      </w:r>
      <w:r>
        <w:rPr>
          <w:rFonts w:ascii="David" w:hAnsi="David" w:cs="David"/>
          <w:color w:val="0000FF"/>
          <w:sz w:val="24"/>
          <w:szCs w:val="24"/>
          <w:vertAlign w:val="superscript"/>
          <w:rtl/>
        </w:rPr>
        <w:footnoteReference w:customMarkFollows="1" w:id="1096"/>
        <w:t>1096</w:t>
      </w:r>
      <w:r>
        <w:rPr>
          <w:rFonts w:ascii="David" w:hAnsi="David" w:cs="David"/>
          <w:color w:val="000000"/>
          <w:sz w:val="24"/>
          <w:szCs w:val="24"/>
          <w:rtl/>
        </w:rPr>
        <w:t>, ומן האחרונים יש שפירשו, ש"מזה" הוא לשון "מזיז", היינו שמטלטל ומניע את המים, והיא טומאת הסט* שבכלל טומאת משא</w:t>
      </w:r>
      <w:r>
        <w:rPr>
          <w:rFonts w:ascii="David" w:hAnsi="David" w:cs="David"/>
          <w:color w:val="0000FF"/>
          <w:sz w:val="24"/>
          <w:szCs w:val="24"/>
          <w:vertAlign w:val="superscript"/>
          <w:rtl/>
        </w:rPr>
        <w:footnoteReference w:customMarkFollows="1" w:id="1097"/>
        <w:t>1097</w:t>
      </w:r>
      <w:r>
        <w:rPr>
          <w:rFonts w:ascii="David" w:hAnsi="David" w:cs="David"/>
          <w:color w:val="000000"/>
          <w:sz w:val="24"/>
          <w:szCs w:val="24"/>
          <w:rtl/>
        </w:rPr>
        <w:t>, ויש מן האחרונים שפירשו, ש"מזה" היינו האדם המזה כמשמעו, אלא שאין המזה נטמא מכח ההזאה עצמה, אלא מפני שהוא מטלטל ומסיט את המים בשעת הזאה, ונטמא בטומאת משא, ואין הכתוב מדבר במזה על הטמא לטהרו, שנמצא משאו לצורך טהרה, ואינו מטמא</w:t>
      </w:r>
      <w:r>
        <w:rPr>
          <w:rFonts w:ascii="David" w:hAnsi="David" w:cs="David"/>
          <w:color w:val="0000FF"/>
          <w:sz w:val="24"/>
          <w:szCs w:val="24"/>
          <w:vertAlign w:val="superscript"/>
          <w:rtl/>
        </w:rPr>
        <w:footnoteReference w:customMarkFollows="1" w:id="1098"/>
        <w:t>1098</w:t>
      </w:r>
      <w:r>
        <w:rPr>
          <w:rFonts w:ascii="David" w:hAnsi="David" w:cs="David"/>
          <w:color w:val="000000"/>
          <w:sz w:val="24"/>
          <w:szCs w:val="24"/>
          <w:rtl/>
        </w:rPr>
        <w:t>, אלא במזה על הטהור או על דבר שאינו מקבל טומאה, שנמצא משאו שלא לצורך, ומטמא</w:t>
      </w:r>
      <w:r>
        <w:rPr>
          <w:rFonts w:ascii="David" w:hAnsi="David" w:cs="David"/>
          <w:color w:val="0000FF"/>
          <w:sz w:val="24"/>
          <w:szCs w:val="24"/>
          <w:vertAlign w:val="superscript"/>
          <w:rtl/>
        </w:rPr>
        <w:footnoteReference w:customMarkFollows="1" w:id="1099"/>
        <w:t>1099</w:t>
      </w:r>
      <w:r>
        <w:rPr>
          <w:rFonts w:ascii="David" w:hAnsi="David" w:cs="David"/>
          <w:color w:val="000000"/>
          <w:sz w:val="24"/>
          <w:szCs w:val="24"/>
          <w:rtl/>
        </w:rPr>
        <w:t>. על הטעם שנקטה תורה לשון "מזה", ולא כתבה "נושא" בפירוש, עי' להלן</w:t>
      </w:r>
      <w:r>
        <w:rPr>
          <w:rFonts w:ascii="David" w:hAnsi="David" w:cs="David"/>
          <w:color w:val="0000FF"/>
          <w:sz w:val="24"/>
          <w:szCs w:val="24"/>
          <w:vertAlign w:val="superscript"/>
          <w:rtl/>
        </w:rPr>
        <w:footnoteReference w:customMarkFollows="1" w:id="1100"/>
        <w:t>1100</w:t>
      </w:r>
      <w:r>
        <w:rPr>
          <w:rFonts w:ascii="David" w:hAnsi="David" w:cs="David"/>
          <w:color w:val="000000"/>
          <w:sz w:val="24"/>
          <w:szCs w:val="24"/>
          <w:rtl/>
        </w:rPr>
        <w:t xml:space="preserve">. </w:t>
      </w:r>
    </w:p>
    <w:p w14:paraId="2B64265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[שיעור המים המטמאים]</w:t>
      </w:r>
    </w:p>
    <w:p w14:paraId="3C1FB3E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שיעור המים שיש בהם כדי לטמא, חלוק בין טומאת מגע מי חטאת לטומאת </w:t>
      </w:r>
    </w:p>
    <w:p w14:paraId="27460FD2"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משאם</w:t>
      </w:r>
      <w:r>
        <w:rPr>
          <w:rFonts w:ascii="David" w:hAnsi="David" w:cs="David"/>
          <w:color w:val="0000FF"/>
          <w:sz w:val="24"/>
          <w:szCs w:val="24"/>
          <w:vertAlign w:val="superscript"/>
          <w:rtl/>
        </w:rPr>
        <w:footnoteReference w:customMarkFollows="1" w:id="1101"/>
        <w:t>1101</w:t>
      </w:r>
      <w:r>
        <w:rPr>
          <w:rFonts w:ascii="David" w:hAnsi="David" w:cs="David"/>
          <w:color w:val="000000"/>
          <w:sz w:val="24"/>
          <w:szCs w:val="24"/>
          <w:rtl/>
        </w:rPr>
        <w:t>, שאינם מטמאים במשא אלא כשיש בהם כדי הזאה* - היינו השיעור שיש בכלי בשעה שטובלים בו האזוב להזאה</w:t>
      </w:r>
      <w:r>
        <w:rPr>
          <w:rFonts w:ascii="David" w:hAnsi="David" w:cs="David"/>
          <w:color w:val="0000FF"/>
          <w:sz w:val="24"/>
          <w:szCs w:val="24"/>
          <w:vertAlign w:val="superscript"/>
          <w:rtl/>
        </w:rPr>
        <w:footnoteReference w:customMarkFollows="1" w:id="1102"/>
        <w:t>1102</w:t>
      </w:r>
      <w:r>
        <w:rPr>
          <w:rFonts w:ascii="David" w:hAnsi="David" w:cs="David"/>
          <w:color w:val="000000"/>
          <w:sz w:val="24"/>
          <w:szCs w:val="24"/>
          <w:rtl/>
        </w:rPr>
        <w:t>, ויש סוברים שהיינו שיעור שצריך שיהיה בהזאה, לסוברים שהזאה צריכה שיעור</w:t>
      </w:r>
      <w:r>
        <w:rPr>
          <w:rFonts w:ascii="David" w:hAnsi="David" w:cs="David"/>
          <w:color w:val="0000FF"/>
          <w:sz w:val="24"/>
          <w:szCs w:val="24"/>
          <w:vertAlign w:val="superscript"/>
          <w:rtl/>
        </w:rPr>
        <w:footnoteReference w:customMarkFollows="1" w:id="1103"/>
        <w:t>1103</w:t>
      </w:r>
      <w:r>
        <w:rPr>
          <w:rFonts w:ascii="David" w:hAnsi="David" w:cs="David"/>
          <w:color w:val="000000"/>
          <w:sz w:val="24"/>
          <w:szCs w:val="24"/>
          <w:rtl/>
        </w:rPr>
        <w:t>, על שיעורים אלו ע"ע הזאה (ב)</w:t>
      </w:r>
      <w:r>
        <w:rPr>
          <w:rFonts w:ascii="David" w:hAnsi="David" w:cs="David"/>
          <w:color w:val="0000FF"/>
          <w:sz w:val="24"/>
          <w:szCs w:val="24"/>
          <w:vertAlign w:val="superscript"/>
          <w:rtl/>
        </w:rPr>
        <w:footnoteReference w:customMarkFollows="1" w:id="1104"/>
        <w:t>1104</w:t>
      </w:r>
      <w:r>
        <w:rPr>
          <w:rFonts w:ascii="David" w:hAnsi="David" w:cs="David"/>
          <w:color w:val="000000"/>
          <w:sz w:val="24"/>
          <w:szCs w:val="24"/>
          <w:rtl/>
        </w:rPr>
        <w:t xml:space="preserve"> - אבל אין בהם כדי הזאה - ויש שכתבו שהוא הדין אם לא היה השיעור בכלי אחד</w:t>
      </w:r>
      <w:r>
        <w:rPr>
          <w:rFonts w:ascii="David" w:hAnsi="David" w:cs="David"/>
          <w:color w:val="0000FF"/>
          <w:sz w:val="24"/>
          <w:szCs w:val="24"/>
          <w:vertAlign w:val="superscript"/>
          <w:rtl/>
        </w:rPr>
        <w:footnoteReference w:customMarkFollows="1" w:id="1105"/>
        <w:t>1105</w:t>
      </w:r>
      <w:r>
        <w:rPr>
          <w:rFonts w:ascii="David" w:hAnsi="David" w:cs="David"/>
          <w:color w:val="000000"/>
          <w:sz w:val="24"/>
          <w:szCs w:val="24"/>
          <w:rtl/>
        </w:rPr>
        <w:t>, או אפילו שהיה שיעור בכלי אחד, ואין נוגעים המים אלו באלו</w:t>
      </w:r>
      <w:r>
        <w:rPr>
          <w:rFonts w:ascii="David" w:hAnsi="David" w:cs="David"/>
          <w:color w:val="0000FF"/>
          <w:sz w:val="24"/>
          <w:szCs w:val="24"/>
          <w:vertAlign w:val="superscript"/>
          <w:rtl/>
        </w:rPr>
        <w:footnoteReference w:customMarkFollows="1" w:id="1106"/>
        <w:t>1106</w:t>
      </w:r>
      <w:r>
        <w:rPr>
          <w:rFonts w:ascii="David" w:hAnsi="David" w:cs="David"/>
          <w:color w:val="000000"/>
          <w:sz w:val="24"/>
          <w:szCs w:val="24"/>
          <w:rtl/>
        </w:rPr>
        <w:t xml:space="preserve"> - אינם מטמאים במשא, אלא במגע ובאויר כלי חרס בלבד</w:t>
      </w:r>
      <w:r>
        <w:rPr>
          <w:rFonts w:ascii="David" w:hAnsi="David" w:cs="David"/>
          <w:color w:val="0000FF"/>
          <w:sz w:val="24"/>
          <w:szCs w:val="24"/>
          <w:vertAlign w:val="superscript"/>
          <w:rtl/>
        </w:rPr>
        <w:footnoteReference w:customMarkFollows="1" w:id="1107"/>
        <w:t>1107</w:t>
      </w:r>
      <w:r>
        <w:rPr>
          <w:rFonts w:ascii="David" w:hAnsi="David" w:cs="David"/>
          <w:color w:val="000000"/>
          <w:sz w:val="24"/>
          <w:szCs w:val="24"/>
          <w:rtl/>
        </w:rPr>
        <w:t>, ובהם הם מטמאים אפילו בכל שהוא</w:t>
      </w:r>
      <w:r>
        <w:rPr>
          <w:rFonts w:ascii="David" w:hAnsi="David" w:cs="David"/>
          <w:color w:val="0000FF"/>
          <w:sz w:val="24"/>
          <w:szCs w:val="24"/>
          <w:vertAlign w:val="superscript"/>
          <w:rtl/>
        </w:rPr>
        <w:footnoteReference w:customMarkFollows="1" w:id="1108"/>
        <w:t>1108</w:t>
      </w:r>
      <w:r>
        <w:rPr>
          <w:rFonts w:ascii="David" w:hAnsi="David" w:cs="David"/>
          <w:color w:val="000000"/>
          <w:sz w:val="24"/>
          <w:szCs w:val="24"/>
          <w:rtl/>
        </w:rPr>
        <w:t>, שנאמר: ומזה מי הנדה יכבס בגדיו</w:t>
      </w:r>
      <w:r>
        <w:rPr>
          <w:rFonts w:ascii="David" w:hAnsi="David" w:cs="David"/>
          <w:color w:val="0000FF"/>
          <w:sz w:val="24"/>
          <w:szCs w:val="24"/>
          <w:vertAlign w:val="superscript"/>
          <w:rtl/>
        </w:rPr>
        <w:footnoteReference w:customMarkFollows="1" w:id="1109"/>
        <w:t>1109</w:t>
      </w:r>
      <w:r>
        <w:rPr>
          <w:rFonts w:ascii="David" w:hAnsi="David" w:cs="David"/>
          <w:color w:val="000000"/>
          <w:sz w:val="24"/>
          <w:szCs w:val="24"/>
          <w:rtl/>
        </w:rPr>
        <w:t>, ואין הכתוב מדבר אלא בנושא</w:t>
      </w:r>
      <w:r>
        <w:rPr>
          <w:rFonts w:ascii="David" w:hAnsi="David" w:cs="David"/>
          <w:color w:val="0000FF"/>
          <w:sz w:val="24"/>
          <w:szCs w:val="24"/>
          <w:vertAlign w:val="superscript"/>
          <w:rtl/>
        </w:rPr>
        <w:footnoteReference w:customMarkFollows="1" w:id="1110"/>
        <w:t>1110</w:t>
      </w:r>
      <w:r>
        <w:rPr>
          <w:rFonts w:ascii="David" w:hAnsi="David" w:cs="David"/>
          <w:color w:val="000000"/>
          <w:sz w:val="24"/>
          <w:szCs w:val="24"/>
          <w:rtl/>
        </w:rPr>
        <w:t>, ונקטה תורה לשון "מזה" ללמדנו שאינם מטמאים במשא עד שיהא בהם שיעור הזאה</w:t>
      </w:r>
      <w:r>
        <w:rPr>
          <w:rFonts w:ascii="David" w:hAnsi="David" w:cs="David"/>
          <w:color w:val="0000FF"/>
          <w:sz w:val="24"/>
          <w:szCs w:val="24"/>
          <w:vertAlign w:val="superscript"/>
          <w:rtl/>
        </w:rPr>
        <w:footnoteReference w:customMarkFollows="1" w:id="1111"/>
        <w:t>1111</w:t>
      </w:r>
      <w:r>
        <w:rPr>
          <w:rFonts w:ascii="David" w:hAnsi="David" w:cs="David"/>
          <w:color w:val="000000"/>
          <w:sz w:val="24"/>
          <w:szCs w:val="24"/>
          <w:rtl/>
        </w:rPr>
        <w:t>, אבל במגע מטמאים, שהרי נאמר והנוגע במי הנדה יטמא</w:t>
      </w:r>
      <w:r>
        <w:rPr>
          <w:rFonts w:ascii="David" w:hAnsi="David" w:cs="David"/>
          <w:color w:val="0000FF"/>
          <w:sz w:val="24"/>
          <w:szCs w:val="24"/>
          <w:vertAlign w:val="superscript"/>
          <w:rtl/>
        </w:rPr>
        <w:footnoteReference w:customMarkFollows="1" w:id="1112"/>
        <w:t>1112</w:t>
      </w:r>
      <w:r>
        <w:rPr>
          <w:rFonts w:ascii="David" w:hAnsi="David" w:cs="David"/>
          <w:color w:val="000000"/>
          <w:sz w:val="24"/>
          <w:szCs w:val="24"/>
          <w:rtl/>
        </w:rPr>
        <w:t>, והיינו כשאין בהם כדי הזאה, שאם היה בהם כדי הזאה היו מטמאים אף במשא</w:t>
      </w:r>
      <w:r>
        <w:rPr>
          <w:rFonts w:ascii="David" w:hAnsi="David" w:cs="David"/>
          <w:color w:val="0000FF"/>
          <w:sz w:val="24"/>
          <w:szCs w:val="24"/>
          <w:vertAlign w:val="superscript"/>
          <w:rtl/>
        </w:rPr>
        <w:footnoteReference w:customMarkFollows="1" w:id="1113"/>
        <w:t>1113</w:t>
      </w:r>
      <w:r>
        <w:rPr>
          <w:rFonts w:ascii="David" w:hAnsi="David" w:cs="David"/>
          <w:color w:val="000000"/>
          <w:sz w:val="24"/>
          <w:szCs w:val="24"/>
          <w:rtl/>
        </w:rPr>
        <w:t>. על הסוברים שאף לענין מגע יש חילוק בדרגת הטומאה בין מים שיש בהם שיעור למים שאין בהם שיעור, עי' להלן</w:t>
      </w:r>
      <w:r>
        <w:rPr>
          <w:rFonts w:ascii="David" w:hAnsi="David" w:cs="David"/>
          <w:color w:val="0000FF"/>
          <w:sz w:val="24"/>
          <w:szCs w:val="24"/>
          <w:vertAlign w:val="superscript"/>
          <w:rtl/>
        </w:rPr>
        <w:footnoteReference w:customMarkFollows="1" w:id="1114"/>
        <w:t>1114</w:t>
      </w:r>
      <w:r>
        <w:rPr>
          <w:rFonts w:ascii="David" w:hAnsi="David" w:cs="David"/>
          <w:color w:val="000000"/>
          <w:sz w:val="24"/>
          <w:szCs w:val="24"/>
          <w:rtl/>
        </w:rPr>
        <w:t xml:space="preserve">. </w:t>
      </w:r>
    </w:p>
    <w:p w14:paraId="45D9AFC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[דרגות הטומאה]</w:t>
      </w:r>
    </w:p>
    <w:p w14:paraId="4B39198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מצינו חילוקים בדרגות טומאתם: הנושא מי חטאת שיש בהם כשיעור הזאה, שהוא נטמא במשא*</w:t>
      </w:r>
      <w:r>
        <w:rPr>
          <w:rFonts w:ascii="David" w:hAnsi="David" w:cs="David"/>
          <w:color w:val="0000FF"/>
          <w:sz w:val="24"/>
          <w:szCs w:val="24"/>
          <w:vertAlign w:val="superscript"/>
          <w:rtl/>
        </w:rPr>
        <w:footnoteReference w:customMarkFollows="1" w:id="1115"/>
        <w:t>1115</w:t>
      </w:r>
      <w:r>
        <w:rPr>
          <w:rFonts w:ascii="David" w:hAnsi="David" w:cs="David"/>
          <w:color w:val="000000"/>
          <w:sz w:val="24"/>
          <w:szCs w:val="24"/>
          <w:rtl/>
        </w:rPr>
        <w:t>, הרי זה מטמא בגדים שעליו</w:t>
      </w:r>
      <w:r>
        <w:rPr>
          <w:rFonts w:ascii="David" w:hAnsi="David" w:cs="David"/>
          <w:color w:val="0000FF"/>
          <w:sz w:val="24"/>
          <w:szCs w:val="24"/>
          <w:vertAlign w:val="superscript"/>
          <w:rtl/>
        </w:rPr>
        <w:footnoteReference w:customMarkFollows="1" w:id="1116"/>
        <w:t>1116</w:t>
      </w:r>
      <w:r>
        <w:rPr>
          <w:rFonts w:ascii="David" w:hAnsi="David" w:cs="David"/>
          <w:color w:val="000000"/>
          <w:sz w:val="24"/>
          <w:szCs w:val="24"/>
          <w:rtl/>
        </w:rPr>
        <w:t>, שנאמר בכתוב שממנו נלמד טומאת נושא: יכבס בגדיו</w:t>
      </w:r>
      <w:r>
        <w:rPr>
          <w:rFonts w:ascii="David" w:hAnsi="David" w:cs="David"/>
          <w:color w:val="0000FF"/>
          <w:sz w:val="24"/>
          <w:szCs w:val="24"/>
          <w:vertAlign w:val="superscript"/>
          <w:rtl/>
        </w:rPr>
        <w:footnoteReference w:customMarkFollows="1" w:id="1117"/>
        <w:t>1117</w:t>
      </w:r>
      <w:r>
        <w:rPr>
          <w:rFonts w:ascii="David" w:hAnsi="David" w:cs="David"/>
          <w:color w:val="000000"/>
          <w:sz w:val="24"/>
          <w:szCs w:val="24"/>
          <w:rtl/>
        </w:rPr>
        <w:t>. והנוגע במים, שהוא נטמא במגע*</w:t>
      </w:r>
      <w:r>
        <w:rPr>
          <w:rFonts w:ascii="David" w:hAnsi="David" w:cs="David"/>
          <w:color w:val="0000FF"/>
          <w:sz w:val="24"/>
          <w:szCs w:val="24"/>
          <w:vertAlign w:val="superscript"/>
          <w:rtl/>
        </w:rPr>
        <w:footnoteReference w:customMarkFollows="1" w:id="1118"/>
        <w:t>1118</w:t>
      </w:r>
      <w:r>
        <w:rPr>
          <w:rFonts w:ascii="David" w:hAnsi="David" w:cs="David"/>
          <w:color w:val="000000"/>
          <w:sz w:val="24"/>
          <w:szCs w:val="24"/>
          <w:rtl/>
        </w:rPr>
        <w:t>, כתבו ראשונים שאינו מטמא בגדים שעליו מכח טומאת מגע, ואפילו יש בהם כשיעור הזאה</w:t>
      </w:r>
      <w:r>
        <w:rPr>
          <w:rFonts w:ascii="David" w:hAnsi="David" w:cs="David"/>
          <w:color w:val="0000FF"/>
          <w:sz w:val="24"/>
          <w:szCs w:val="24"/>
          <w:vertAlign w:val="superscript"/>
          <w:rtl/>
        </w:rPr>
        <w:footnoteReference w:customMarkFollows="1" w:id="1119"/>
        <w:t>1119</w:t>
      </w:r>
      <w:r>
        <w:rPr>
          <w:rFonts w:ascii="David" w:hAnsi="David" w:cs="David"/>
          <w:color w:val="000000"/>
          <w:sz w:val="24"/>
          <w:szCs w:val="24"/>
          <w:rtl/>
        </w:rPr>
        <w:t>, שנאמר: והנוגע במי הנדה יטמא</w:t>
      </w:r>
      <w:r>
        <w:rPr>
          <w:rFonts w:ascii="David" w:hAnsi="David" w:cs="David"/>
          <w:color w:val="0000FF"/>
          <w:sz w:val="24"/>
          <w:szCs w:val="24"/>
          <w:vertAlign w:val="superscript"/>
          <w:rtl/>
        </w:rPr>
        <w:footnoteReference w:customMarkFollows="1" w:id="1120"/>
        <w:t>1120</w:t>
      </w:r>
      <w:r>
        <w:rPr>
          <w:rFonts w:ascii="David" w:hAnsi="David" w:cs="David"/>
          <w:color w:val="000000"/>
          <w:sz w:val="24"/>
          <w:szCs w:val="24"/>
          <w:rtl/>
        </w:rPr>
        <w:t>, ומשמע שכתוב זה הוא אף כשיש בו שיעור הזאה, ולא הוזכר בו כיבוס בגדים לענין הנוגע</w:t>
      </w:r>
      <w:r>
        <w:rPr>
          <w:rFonts w:ascii="David" w:hAnsi="David" w:cs="David"/>
          <w:color w:val="0000FF"/>
          <w:sz w:val="24"/>
          <w:szCs w:val="24"/>
          <w:vertAlign w:val="superscript"/>
          <w:rtl/>
        </w:rPr>
        <w:footnoteReference w:customMarkFollows="1" w:id="1121"/>
        <w:t>1121</w:t>
      </w:r>
      <w:r>
        <w:rPr>
          <w:rFonts w:ascii="David" w:hAnsi="David" w:cs="David"/>
          <w:color w:val="000000"/>
          <w:sz w:val="24"/>
          <w:szCs w:val="24"/>
          <w:rtl/>
        </w:rPr>
        <w:t>, ועוד, שדורשים "יטמא", הוא ולא בגדו</w:t>
      </w:r>
      <w:r>
        <w:rPr>
          <w:rFonts w:ascii="David" w:hAnsi="David" w:cs="David"/>
          <w:color w:val="0000FF"/>
          <w:sz w:val="24"/>
          <w:szCs w:val="24"/>
          <w:vertAlign w:val="superscript"/>
          <w:rtl/>
        </w:rPr>
        <w:footnoteReference w:customMarkFollows="1" w:id="1122"/>
        <w:t>1122</w:t>
      </w:r>
      <w:r>
        <w:rPr>
          <w:rFonts w:ascii="David" w:hAnsi="David" w:cs="David"/>
          <w:color w:val="000000"/>
          <w:sz w:val="24"/>
          <w:szCs w:val="24"/>
          <w:rtl/>
        </w:rPr>
        <w:t>, ועוד, שיש ללמוד מטומאת נבלה*, שאף על פי שהנושאה נטמא ומטמא בגדים, הנוגע בה נטמא ואינו מטמא בגדים</w:t>
      </w:r>
      <w:r>
        <w:rPr>
          <w:rFonts w:ascii="David" w:hAnsi="David" w:cs="David"/>
          <w:color w:val="0000FF"/>
          <w:sz w:val="24"/>
          <w:szCs w:val="24"/>
          <w:vertAlign w:val="superscript"/>
          <w:rtl/>
        </w:rPr>
        <w:footnoteReference w:customMarkFollows="1" w:id="1123"/>
        <w:t>1123</w:t>
      </w:r>
      <w:r>
        <w:rPr>
          <w:rFonts w:ascii="David" w:hAnsi="David" w:cs="David"/>
          <w:color w:val="000000"/>
          <w:sz w:val="24"/>
          <w:szCs w:val="24"/>
          <w:rtl/>
        </w:rPr>
        <w:t>. וכתבו ראשונים ואחרונים שזהו ששנינו: ומי חטאת שיש בהם כשיעור הזאה, שהם מטמאים את האדם במשא לטמא בגדים, וחשוכי בגדים במגע</w:t>
      </w:r>
      <w:r>
        <w:rPr>
          <w:rFonts w:ascii="David" w:hAnsi="David" w:cs="David"/>
          <w:color w:val="0000FF"/>
          <w:sz w:val="24"/>
          <w:szCs w:val="24"/>
          <w:vertAlign w:val="superscript"/>
          <w:rtl/>
        </w:rPr>
        <w:footnoteReference w:customMarkFollows="1" w:id="1124"/>
        <w:t>1124</w:t>
      </w:r>
      <w:r>
        <w:rPr>
          <w:rFonts w:ascii="David" w:hAnsi="David" w:cs="David"/>
          <w:color w:val="000000"/>
          <w:sz w:val="24"/>
          <w:szCs w:val="24"/>
          <w:rtl/>
        </w:rPr>
        <w:t xml:space="preserve">, כלומר, </w:t>
      </w:r>
    </w:p>
    <w:p w14:paraId="6894CDF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מנועים הבגדים מטומאה מחמת מגע בלא משא</w:t>
      </w:r>
      <w:r>
        <w:rPr>
          <w:rFonts w:ascii="David" w:hAnsi="David" w:cs="David"/>
          <w:color w:val="0000FF"/>
          <w:sz w:val="24"/>
          <w:szCs w:val="24"/>
          <w:vertAlign w:val="superscript"/>
          <w:rtl/>
        </w:rPr>
        <w:footnoteReference w:customMarkFollows="1" w:id="1125"/>
        <w:t>1125</w:t>
      </w:r>
      <w:r>
        <w:rPr>
          <w:rFonts w:ascii="David" w:hAnsi="David" w:cs="David"/>
          <w:color w:val="000000"/>
          <w:sz w:val="24"/>
          <w:szCs w:val="24"/>
          <w:rtl/>
        </w:rPr>
        <w:t>. ומכל מקום, שנינו בתוספתא, שהנוגע במי חטאת שיש בהם כשיעור הזאה, הרי זה מטמא בגדים משום נושא, שאי אפשר שיגע במים ולא יסיט אותם</w:t>
      </w:r>
      <w:r>
        <w:rPr>
          <w:rFonts w:ascii="David" w:hAnsi="David" w:cs="David"/>
          <w:color w:val="0000FF"/>
          <w:sz w:val="24"/>
          <w:szCs w:val="24"/>
          <w:vertAlign w:val="superscript"/>
          <w:rtl/>
        </w:rPr>
        <w:footnoteReference w:customMarkFollows="1" w:id="1126"/>
        <w:t>1126</w:t>
      </w:r>
      <w:r>
        <w:rPr>
          <w:rFonts w:ascii="David" w:hAnsi="David" w:cs="David"/>
          <w:color w:val="000000"/>
          <w:sz w:val="24"/>
          <w:szCs w:val="24"/>
          <w:rtl/>
        </w:rPr>
        <w:t>, ואותה ששנינו: וחשוכי בגדים במגע, היינו לומר שהנוגע במי חטאת אין בגדיו נטמאים מטעם מגע אלא מטעם משא שבמגעו</w:t>
      </w:r>
      <w:r>
        <w:rPr>
          <w:rFonts w:ascii="David" w:hAnsi="David" w:cs="David"/>
          <w:color w:val="0000FF"/>
          <w:sz w:val="24"/>
          <w:szCs w:val="24"/>
          <w:vertAlign w:val="superscript"/>
          <w:rtl/>
        </w:rPr>
        <w:footnoteReference w:customMarkFollows="1" w:id="1127"/>
        <w:t>1127</w:t>
      </w:r>
      <w:r>
        <w:rPr>
          <w:rFonts w:ascii="David" w:hAnsi="David" w:cs="David"/>
          <w:color w:val="000000"/>
          <w:sz w:val="24"/>
          <w:szCs w:val="24"/>
          <w:rtl/>
        </w:rPr>
        <w:t>, ונפקא מינה למים שהיו קרושים כגליד, שאין המגע גורם להם הסט*</w:t>
      </w:r>
      <w:r>
        <w:rPr>
          <w:rFonts w:ascii="David" w:hAnsi="David" w:cs="David"/>
          <w:color w:val="0000FF"/>
          <w:sz w:val="24"/>
          <w:szCs w:val="24"/>
          <w:vertAlign w:val="superscript"/>
          <w:rtl/>
        </w:rPr>
        <w:footnoteReference w:customMarkFollows="1" w:id="1128"/>
        <w:t>1128</w:t>
      </w:r>
      <w:r>
        <w:rPr>
          <w:rFonts w:ascii="David" w:hAnsi="David" w:cs="David"/>
          <w:color w:val="000000"/>
          <w:sz w:val="24"/>
          <w:szCs w:val="24"/>
          <w:rtl/>
        </w:rPr>
        <w:t>, או כשהיה המשא לצורך הזאה, והמגע לא היה לצורך</w:t>
      </w:r>
      <w:r>
        <w:rPr>
          <w:rFonts w:ascii="David" w:hAnsi="David" w:cs="David"/>
          <w:color w:val="0000FF"/>
          <w:sz w:val="24"/>
          <w:szCs w:val="24"/>
          <w:vertAlign w:val="superscript"/>
          <w:rtl/>
        </w:rPr>
        <w:footnoteReference w:customMarkFollows="1" w:id="1129"/>
        <w:t>1129</w:t>
      </w:r>
      <w:r>
        <w:rPr>
          <w:rFonts w:ascii="David" w:hAnsi="David" w:cs="David"/>
          <w:color w:val="000000"/>
          <w:sz w:val="24"/>
          <w:szCs w:val="24"/>
          <w:rtl/>
        </w:rPr>
        <w:t>. ויש מן הראשונים שכתבו בדעת תנאים שהם חולקים על כל זה, וסוברים שהנטמא בטומאת מגע במים שיש בהם כשיעור הזאה, מטמא בגדים שעליו</w:t>
      </w:r>
      <w:r>
        <w:rPr>
          <w:rFonts w:ascii="David" w:hAnsi="David" w:cs="David"/>
          <w:color w:val="0000FF"/>
          <w:sz w:val="24"/>
          <w:szCs w:val="24"/>
          <w:vertAlign w:val="superscript"/>
          <w:rtl/>
        </w:rPr>
        <w:footnoteReference w:customMarkFollows="1" w:id="1130"/>
        <w:t>1130</w:t>
      </w:r>
      <w:r>
        <w:rPr>
          <w:rFonts w:ascii="David" w:hAnsi="David" w:cs="David"/>
          <w:color w:val="000000"/>
          <w:sz w:val="24"/>
          <w:szCs w:val="24"/>
          <w:rtl/>
        </w:rPr>
        <w:t>, ולדעתם זו היא ששנינו בספרי: ומזה מי הנדה יכבס בגדיו והנוגע במי הנדה יטמא</w:t>
      </w:r>
      <w:r>
        <w:rPr>
          <w:rFonts w:ascii="David" w:hAnsi="David" w:cs="David"/>
          <w:color w:val="0000FF"/>
          <w:sz w:val="24"/>
          <w:szCs w:val="24"/>
          <w:vertAlign w:val="superscript"/>
          <w:rtl/>
        </w:rPr>
        <w:footnoteReference w:customMarkFollows="1" w:id="1131"/>
        <w:t>1131</w:t>
      </w:r>
      <w:r>
        <w:rPr>
          <w:rFonts w:ascii="David" w:hAnsi="David" w:cs="David"/>
          <w:color w:val="000000"/>
          <w:sz w:val="24"/>
          <w:szCs w:val="24"/>
          <w:rtl/>
        </w:rPr>
        <w:t>, בין מים למים הכתוב חולק, שהמים שיש בהם כשיעור הזאה מטמא אדם לטמא בגדים</w:t>
      </w:r>
      <w:r>
        <w:rPr>
          <w:rFonts w:ascii="David" w:hAnsi="David" w:cs="David"/>
          <w:color w:val="0000FF"/>
          <w:sz w:val="24"/>
          <w:szCs w:val="24"/>
          <w:vertAlign w:val="superscript"/>
          <w:rtl/>
        </w:rPr>
        <w:footnoteReference w:customMarkFollows="1" w:id="1132"/>
        <w:t>1132</w:t>
      </w:r>
      <w:r>
        <w:rPr>
          <w:rFonts w:ascii="David" w:hAnsi="David" w:cs="David"/>
          <w:color w:val="000000"/>
          <w:sz w:val="24"/>
          <w:szCs w:val="24"/>
          <w:rtl/>
        </w:rPr>
        <w:t>, שלדעת הספרי אין הכתוב מחלק בין מגע למשא לענין כיבוס בגדים, ואין הדבר תלוי אלא בשיעור המים</w:t>
      </w:r>
      <w:r>
        <w:rPr>
          <w:rFonts w:ascii="David" w:hAnsi="David" w:cs="David"/>
          <w:color w:val="0000FF"/>
          <w:sz w:val="24"/>
          <w:szCs w:val="24"/>
          <w:vertAlign w:val="superscript"/>
          <w:rtl/>
        </w:rPr>
        <w:footnoteReference w:customMarkFollows="1" w:id="1133"/>
        <w:t>1133</w:t>
      </w:r>
      <w:r>
        <w:rPr>
          <w:rFonts w:ascii="David" w:hAnsi="David" w:cs="David"/>
          <w:color w:val="000000"/>
          <w:sz w:val="24"/>
          <w:szCs w:val="24"/>
          <w:rtl/>
        </w:rPr>
        <w:t>, ומהם סוברים שכן פסקו ראשונים להלכה</w:t>
      </w:r>
      <w:r>
        <w:rPr>
          <w:rFonts w:ascii="David" w:hAnsi="David" w:cs="David"/>
          <w:color w:val="0000FF"/>
          <w:sz w:val="24"/>
          <w:szCs w:val="24"/>
          <w:vertAlign w:val="superscript"/>
          <w:rtl/>
        </w:rPr>
        <w:footnoteReference w:customMarkFollows="1" w:id="1134"/>
        <w:t>1134</w:t>
      </w:r>
      <w:r>
        <w:rPr>
          <w:rFonts w:ascii="David" w:hAnsi="David" w:cs="David"/>
          <w:color w:val="000000"/>
          <w:sz w:val="24"/>
          <w:szCs w:val="24"/>
          <w:rtl/>
        </w:rPr>
        <w:t>, ולדעתם אותה ששנינו במשנה "וחשוכי בגדים במגע", אינו אמור לענין מי חטאת אלא לענין טומאת נבלה* בלבד</w:t>
      </w:r>
      <w:r>
        <w:rPr>
          <w:rFonts w:ascii="David" w:hAnsi="David" w:cs="David"/>
          <w:color w:val="0000FF"/>
          <w:sz w:val="24"/>
          <w:szCs w:val="24"/>
          <w:vertAlign w:val="superscript"/>
          <w:rtl/>
        </w:rPr>
        <w:footnoteReference w:customMarkFollows="1" w:id="1135"/>
        <w:t>1135</w:t>
      </w:r>
      <w:r>
        <w:rPr>
          <w:rFonts w:ascii="David" w:hAnsi="David" w:cs="David"/>
          <w:color w:val="000000"/>
          <w:sz w:val="24"/>
          <w:szCs w:val="24"/>
          <w:rtl/>
        </w:rPr>
        <w:t xml:space="preserve">. </w:t>
      </w:r>
    </w:p>
    <w:p w14:paraId="2FAD937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[לחטאת]</w:t>
      </w:r>
    </w:p>
    <w:p w14:paraId="30FEC17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הנטמא מחמת מי חטאת, אמרו בירושלמי שאינו חוזר ומטמא את מי חטאת</w:t>
      </w:r>
      <w:r>
        <w:rPr>
          <w:rFonts w:ascii="David" w:hAnsi="David" w:cs="David"/>
          <w:color w:val="0000FF"/>
          <w:sz w:val="24"/>
          <w:szCs w:val="24"/>
          <w:vertAlign w:val="superscript"/>
          <w:rtl/>
        </w:rPr>
        <w:footnoteReference w:customMarkFollows="1" w:id="1136"/>
        <w:t>1136</w:t>
      </w:r>
      <w:r>
        <w:rPr>
          <w:rFonts w:ascii="David" w:hAnsi="David" w:cs="David"/>
          <w:color w:val="000000"/>
          <w:sz w:val="24"/>
          <w:szCs w:val="24"/>
          <w:rtl/>
        </w:rPr>
        <w:t xml:space="preserve">. ונחלקו ראשונים אם הוא חשוב טמא לחטאת: יש מן </w:t>
      </w:r>
    </w:p>
    <w:p w14:paraId="3851343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הראשונים שכתבו שהנוגע במי חטאת או נושאם אינו טמא לענין חטאת</w:t>
      </w:r>
      <w:r>
        <w:rPr>
          <w:rFonts w:ascii="David" w:hAnsi="David" w:cs="David"/>
          <w:color w:val="0000FF"/>
          <w:sz w:val="24"/>
          <w:szCs w:val="24"/>
          <w:vertAlign w:val="superscript"/>
          <w:rtl/>
        </w:rPr>
        <w:footnoteReference w:customMarkFollows="1" w:id="1137"/>
        <w:t>1137</w:t>
      </w:r>
      <w:r>
        <w:rPr>
          <w:rFonts w:ascii="David" w:hAnsi="David" w:cs="David"/>
          <w:color w:val="000000"/>
          <w:sz w:val="24"/>
          <w:szCs w:val="24"/>
          <w:rtl/>
        </w:rPr>
        <w:t>, ולפיכך הוא כשר למילוי ולקידוש ולהזאה*</w:t>
      </w:r>
      <w:r>
        <w:rPr>
          <w:rFonts w:ascii="David" w:hAnsi="David" w:cs="David"/>
          <w:color w:val="0000FF"/>
          <w:sz w:val="24"/>
          <w:szCs w:val="24"/>
          <w:vertAlign w:val="superscript"/>
          <w:rtl/>
        </w:rPr>
        <w:footnoteReference w:customMarkFollows="1" w:id="1138"/>
        <w:t>1138</w:t>
      </w:r>
      <w:r>
        <w:rPr>
          <w:rFonts w:ascii="David" w:hAnsi="David" w:cs="David"/>
          <w:color w:val="000000"/>
          <w:sz w:val="24"/>
          <w:szCs w:val="24"/>
          <w:rtl/>
        </w:rPr>
        <w:t>, שאם לא כן, כיון שכל נושא צלוחית של מי חטאת נטמא, יחזור ויטמא את הצלוחית, ותחזור הצלוחית ותטמא את המים</w:t>
      </w:r>
      <w:r>
        <w:rPr>
          <w:rFonts w:ascii="David" w:hAnsi="David" w:cs="David"/>
          <w:color w:val="0000FF"/>
          <w:sz w:val="24"/>
          <w:szCs w:val="24"/>
          <w:vertAlign w:val="superscript"/>
          <w:rtl/>
        </w:rPr>
        <w:footnoteReference w:customMarkFollows="1" w:id="1139"/>
        <w:t>1139</w:t>
      </w:r>
      <w:r>
        <w:rPr>
          <w:rFonts w:ascii="David" w:hAnsi="David" w:cs="David"/>
          <w:color w:val="000000"/>
          <w:sz w:val="24"/>
          <w:szCs w:val="24"/>
          <w:rtl/>
        </w:rPr>
        <w:t>. ומכל מקום יש מהם שצידדו לומר, שהיינו לענין טומאת אדם, אבל כלים שנטמאו מחמת מי חטאת, טמאים אף לחטאת, וחוזרים ומטמאים את האדם לטמא מי חטאת</w:t>
      </w:r>
      <w:r>
        <w:rPr>
          <w:rFonts w:ascii="David" w:hAnsi="David" w:cs="David"/>
          <w:color w:val="0000FF"/>
          <w:sz w:val="24"/>
          <w:szCs w:val="24"/>
          <w:vertAlign w:val="superscript"/>
          <w:rtl/>
        </w:rPr>
        <w:footnoteReference w:customMarkFollows="1" w:id="1140"/>
        <w:t>1140</w:t>
      </w:r>
      <w:r>
        <w:rPr>
          <w:rFonts w:ascii="David" w:hAnsi="David" w:cs="David"/>
          <w:color w:val="000000"/>
          <w:sz w:val="24"/>
          <w:szCs w:val="24"/>
          <w:rtl/>
        </w:rPr>
        <w:t>, ותמהו אחרונים מאיזה טעם חלוקים אדם וכלים לענין זה</w:t>
      </w:r>
      <w:r>
        <w:rPr>
          <w:rFonts w:ascii="David" w:hAnsi="David" w:cs="David"/>
          <w:color w:val="0000FF"/>
          <w:sz w:val="24"/>
          <w:szCs w:val="24"/>
          <w:vertAlign w:val="superscript"/>
          <w:rtl/>
        </w:rPr>
        <w:footnoteReference w:customMarkFollows="1" w:id="1141"/>
        <w:t>1141</w:t>
      </w:r>
      <w:r>
        <w:rPr>
          <w:rFonts w:ascii="David" w:hAnsi="David" w:cs="David"/>
          <w:color w:val="000000"/>
          <w:sz w:val="24"/>
          <w:szCs w:val="24"/>
          <w:rtl/>
        </w:rPr>
        <w:t>. ויש סוברים שמי חטאת מטמאים אף לחטאת</w:t>
      </w:r>
      <w:r>
        <w:rPr>
          <w:rFonts w:ascii="David" w:hAnsi="David" w:cs="David"/>
          <w:color w:val="0000FF"/>
          <w:sz w:val="24"/>
          <w:szCs w:val="24"/>
          <w:vertAlign w:val="superscript"/>
          <w:rtl/>
        </w:rPr>
        <w:footnoteReference w:customMarkFollows="1" w:id="1142"/>
        <w:t>1142</w:t>
      </w:r>
      <w:r>
        <w:rPr>
          <w:rFonts w:ascii="David" w:hAnsi="David" w:cs="David"/>
          <w:color w:val="000000"/>
          <w:sz w:val="24"/>
          <w:szCs w:val="24"/>
          <w:rtl/>
        </w:rPr>
        <w:t>, מהם שכתבו שאף על פי שמי חטאת אינם חוזרים ומטמאים את המים, אם טימאו אדם הרי הוא טמא לחטאת</w:t>
      </w:r>
      <w:r>
        <w:rPr>
          <w:rFonts w:ascii="David" w:hAnsi="David" w:cs="David"/>
          <w:color w:val="0000FF"/>
          <w:sz w:val="24"/>
          <w:szCs w:val="24"/>
          <w:vertAlign w:val="superscript"/>
          <w:rtl/>
        </w:rPr>
        <w:footnoteReference w:customMarkFollows="1" w:id="1143"/>
        <w:t>1143</w:t>
      </w:r>
      <w:r>
        <w:rPr>
          <w:rFonts w:ascii="David" w:hAnsi="David" w:cs="David"/>
          <w:color w:val="000000"/>
          <w:sz w:val="24"/>
          <w:szCs w:val="24"/>
          <w:rtl/>
        </w:rPr>
        <w:t>, ויש סוברים יותר מזה שדוקא המקבל טומאה ממי חטאת אינו מטמא את המים, אבל אם הוא טימא אחרים, חוזרים ומטמאים את המים</w:t>
      </w:r>
      <w:r>
        <w:rPr>
          <w:rFonts w:ascii="David" w:hAnsi="David" w:cs="David"/>
          <w:color w:val="0000FF"/>
          <w:sz w:val="24"/>
          <w:szCs w:val="24"/>
          <w:vertAlign w:val="superscript"/>
          <w:rtl/>
        </w:rPr>
        <w:footnoteReference w:customMarkFollows="1" w:id="1144"/>
        <w:t>1144</w:t>
      </w:r>
      <w:r>
        <w:rPr>
          <w:rFonts w:ascii="David" w:hAnsi="David" w:cs="David"/>
          <w:color w:val="000000"/>
          <w:sz w:val="24"/>
          <w:szCs w:val="24"/>
          <w:rtl/>
        </w:rPr>
        <w:t>, ויש מן הראשונים שנראה מדבריהם שמי חטאת אף חוזרים ומטמאים את המים</w:t>
      </w:r>
      <w:r>
        <w:rPr>
          <w:rFonts w:ascii="David" w:hAnsi="David" w:cs="David"/>
          <w:color w:val="0000FF"/>
          <w:sz w:val="24"/>
          <w:szCs w:val="24"/>
          <w:vertAlign w:val="superscript"/>
          <w:rtl/>
        </w:rPr>
        <w:footnoteReference w:customMarkFollows="1" w:id="1145"/>
        <w:t>1145</w:t>
      </w:r>
      <w:r>
        <w:rPr>
          <w:rFonts w:ascii="David" w:hAnsi="David" w:cs="David"/>
          <w:color w:val="000000"/>
          <w:sz w:val="24"/>
          <w:szCs w:val="24"/>
          <w:rtl/>
        </w:rPr>
        <w:t xml:space="preserve">, ומכל מקום נושא צלוחית מי חטאת אינו מטמא את המים, כיון שנושאם לצורך, והנושא לצורך אינו מטמא, לסוברים </w:t>
      </w:r>
    </w:p>
    <w:p w14:paraId="1E4D2C7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כן</w:t>
      </w:r>
      <w:r>
        <w:rPr>
          <w:rFonts w:ascii="David" w:hAnsi="David" w:cs="David"/>
          <w:color w:val="0000FF"/>
          <w:sz w:val="24"/>
          <w:szCs w:val="24"/>
          <w:vertAlign w:val="superscript"/>
          <w:rtl/>
        </w:rPr>
        <w:footnoteReference w:customMarkFollows="1" w:id="1146"/>
        <w:t>1146</w:t>
      </w:r>
      <w:r>
        <w:rPr>
          <w:rFonts w:ascii="David" w:hAnsi="David" w:cs="David"/>
          <w:color w:val="000000"/>
          <w:sz w:val="24"/>
          <w:szCs w:val="24"/>
          <w:rtl/>
        </w:rPr>
        <w:t>, או משום שהם סוברים שאין מי חטאת מטמאים את האדם הטהור לחטאת</w:t>
      </w:r>
      <w:r>
        <w:rPr>
          <w:rFonts w:ascii="David" w:hAnsi="David" w:cs="David"/>
          <w:color w:val="0000FF"/>
          <w:sz w:val="24"/>
          <w:szCs w:val="24"/>
          <w:vertAlign w:val="superscript"/>
          <w:rtl/>
        </w:rPr>
        <w:footnoteReference w:customMarkFollows="1" w:id="1147"/>
        <w:t>1147</w:t>
      </w:r>
      <w:r>
        <w:rPr>
          <w:rFonts w:ascii="David" w:hAnsi="David" w:cs="David"/>
          <w:color w:val="000000"/>
          <w:sz w:val="24"/>
          <w:szCs w:val="24"/>
          <w:rtl/>
        </w:rPr>
        <w:t xml:space="preserve">. </w:t>
      </w:r>
    </w:p>
    <w:p w14:paraId="11AF050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 שהיזו עליו]</w:t>
      </w:r>
    </w:p>
    <w:p w14:paraId="0260C1C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טמא שהיזו עליו מי חטאת, אינו נטמא בטומאת מי חטאת</w:t>
      </w:r>
      <w:r>
        <w:rPr>
          <w:rFonts w:ascii="David" w:hAnsi="David" w:cs="David"/>
          <w:color w:val="0000FF"/>
          <w:sz w:val="24"/>
          <w:szCs w:val="24"/>
          <w:vertAlign w:val="superscript"/>
          <w:rtl/>
        </w:rPr>
        <w:footnoteReference w:customMarkFollows="1" w:id="1148"/>
        <w:t>1148</w:t>
      </w:r>
      <w:r>
        <w:rPr>
          <w:rFonts w:ascii="David" w:hAnsi="David" w:cs="David"/>
          <w:color w:val="000000"/>
          <w:sz w:val="24"/>
          <w:szCs w:val="24"/>
          <w:rtl/>
        </w:rPr>
        <w:t>, ואינו כנוגע במי חטאת שנטמא</w:t>
      </w:r>
      <w:r>
        <w:rPr>
          <w:rFonts w:ascii="David" w:hAnsi="David" w:cs="David"/>
          <w:color w:val="0000FF"/>
          <w:sz w:val="24"/>
          <w:szCs w:val="24"/>
          <w:vertAlign w:val="superscript"/>
          <w:rtl/>
        </w:rPr>
        <w:footnoteReference w:customMarkFollows="1" w:id="1149"/>
        <w:t>1149</w:t>
      </w:r>
      <w:r>
        <w:rPr>
          <w:rFonts w:ascii="David" w:hAnsi="David" w:cs="David"/>
          <w:color w:val="000000"/>
          <w:sz w:val="24"/>
          <w:szCs w:val="24"/>
          <w:rtl/>
        </w:rPr>
        <w:t>, ועל זה אמר שלמה: אמרתי אחכמה והיא רחוקה ממני</w:t>
      </w:r>
      <w:r>
        <w:rPr>
          <w:rFonts w:ascii="David" w:hAnsi="David" w:cs="David"/>
          <w:color w:val="0000FF"/>
          <w:sz w:val="24"/>
          <w:szCs w:val="24"/>
          <w:vertAlign w:val="superscript"/>
          <w:rtl/>
        </w:rPr>
        <w:footnoteReference w:customMarkFollows="1" w:id="1150"/>
        <w:t>1150</w:t>
      </w:r>
      <w:r>
        <w:rPr>
          <w:rFonts w:ascii="David" w:hAnsi="David" w:cs="David"/>
          <w:color w:val="000000"/>
          <w:sz w:val="24"/>
          <w:szCs w:val="24"/>
          <w:rtl/>
        </w:rPr>
        <w:t>. ואם היתה ההזאה פסולה, כגון שהיזה בלילה, או שהיה המזה טמא, או שהיו המים פסולים מדרבנן, נקטו אחרונים שהמוזה טמא</w:t>
      </w:r>
      <w:r>
        <w:rPr>
          <w:rFonts w:ascii="David" w:hAnsi="David" w:cs="David"/>
          <w:color w:val="0000FF"/>
          <w:sz w:val="24"/>
          <w:szCs w:val="24"/>
          <w:vertAlign w:val="superscript"/>
          <w:rtl/>
        </w:rPr>
        <w:footnoteReference w:customMarkFollows="1" w:id="1151"/>
        <w:t>1151</w:t>
      </w:r>
      <w:r>
        <w:rPr>
          <w:rFonts w:ascii="David" w:hAnsi="David" w:cs="David"/>
          <w:color w:val="000000"/>
          <w:sz w:val="24"/>
          <w:szCs w:val="24"/>
          <w:rtl/>
        </w:rPr>
        <w:t>. היה המוזה טהור מטומאת מת, לדעת רבי עקיבא טמא</w:t>
      </w:r>
      <w:r>
        <w:rPr>
          <w:rFonts w:ascii="David" w:hAnsi="David" w:cs="David"/>
          <w:color w:val="0000FF"/>
          <w:sz w:val="24"/>
          <w:szCs w:val="24"/>
          <w:vertAlign w:val="superscript"/>
          <w:rtl/>
        </w:rPr>
        <w:footnoteReference w:customMarkFollows="1" w:id="1152"/>
        <w:t>1152</w:t>
      </w:r>
      <w:r>
        <w:rPr>
          <w:rFonts w:ascii="David" w:hAnsi="David" w:cs="David"/>
          <w:color w:val="000000"/>
          <w:sz w:val="24"/>
          <w:szCs w:val="24"/>
          <w:rtl/>
        </w:rPr>
        <w:t>, שדרש: והזה הטהר על הטמא</w:t>
      </w:r>
      <w:r>
        <w:rPr>
          <w:rFonts w:ascii="David" w:hAnsi="David" w:cs="David"/>
          <w:color w:val="0000FF"/>
          <w:sz w:val="24"/>
          <w:szCs w:val="24"/>
          <w:vertAlign w:val="superscript"/>
          <w:rtl/>
        </w:rPr>
        <w:footnoteReference w:customMarkFollows="1" w:id="1153"/>
        <w:t>1153</w:t>
      </w:r>
      <w:r>
        <w:rPr>
          <w:rFonts w:ascii="David" w:hAnsi="David" w:cs="David"/>
          <w:color w:val="000000"/>
          <w:sz w:val="24"/>
          <w:szCs w:val="24"/>
          <w:rtl/>
        </w:rPr>
        <w:t xml:space="preserve"> - לא נאמר "והזה הטהור עליו" אלא "על הטמא"</w:t>
      </w:r>
      <w:r>
        <w:rPr>
          <w:rFonts w:ascii="David" w:hAnsi="David" w:cs="David"/>
          <w:color w:val="0000FF"/>
          <w:sz w:val="24"/>
          <w:szCs w:val="24"/>
          <w:vertAlign w:val="superscript"/>
          <w:rtl/>
        </w:rPr>
        <w:footnoteReference w:customMarkFollows="1" w:id="1154"/>
        <w:t>1154</w:t>
      </w:r>
      <w:r>
        <w:rPr>
          <w:rFonts w:ascii="David" w:hAnsi="David" w:cs="David"/>
          <w:color w:val="000000"/>
          <w:sz w:val="24"/>
          <w:szCs w:val="24"/>
          <w:rtl/>
        </w:rPr>
        <w:t xml:space="preserve"> - על הטמא טהור, ועל הטהור טמא</w:t>
      </w:r>
      <w:r>
        <w:rPr>
          <w:rFonts w:ascii="David" w:hAnsi="David" w:cs="David"/>
          <w:color w:val="0000FF"/>
          <w:sz w:val="24"/>
          <w:szCs w:val="24"/>
          <w:vertAlign w:val="superscript"/>
          <w:rtl/>
        </w:rPr>
        <w:footnoteReference w:customMarkFollows="1" w:id="1155"/>
        <w:t>1155</w:t>
      </w:r>
      <w:r>
        <w:rPr>
          <w:rFonts w:ascii="David" w:hAnsi="David" w:cs="David"/>
          <w:color w:val="000000"/>
          <w:sz w:val="24"/>
          <w:szCs w:val="24"/>
          <w:rtl/>
        </w:rPr>
        <w:t>, ואף על פי שהיה לנו לטהרו מקל וחומר</w:t>
      </w:r>
      <w:r>
        <w:rPr>
          <w:rFonts w:ascii="David" w:hAnsi="David" w:cs="David"/>
          <w:color w:val="0000FF"/>
          <w:sz w:val="24"/>
          <w:szCs w:val="24"/>
          <w:vertAlign w:val="superscript"/>
          <w:rtl/>
        </w:rPr>
        <w:footnoteReference w:customMarkFollows="1" w:id="1156"/>
        <w:t>1156</w:t>
      </w:r>
      <w:r>
        <w:rPr>
          <w:rFonts w:ascii="David" w:hAnsi="David" w:cs="David"/>
          <w:color w:val="000000"/>
          <w:sz w:val="24"/>
          <w:szCs w:val="24"/>
          <w:rtl/>
        </w:rPr>
        <w:t>, על כך אמר שלמה: אמרתי אחכמה והיא רחוקה ממני</w:t>
      </w:r>
      <w:r>
        <w:rPr>
          <w:rFonts w:ascii="David" w:hAnsi="David" w:cs="David"/>
          <w:color w:val="0000FF"/>
          <w:sz w:val="24"/>
          <w:szCs w:val="24"/>
          <w:vertAlign w:val="superscript"/>
          <w:rtl/>
        </w:rPr>
        <w:footnoteReference w:customMarkFollows="1" w:id="1157"/>
        <w:t>1157</w:t>
      </w:r>
      <w:r>
        <w:rPr>
          <w:rFonts w:ascii="David" w:hAnsi="David" w:cs="David"/>
          <w:color w:val="000000"/>
          <w:sz w:val="24"/>
          <w:szCs w:val="24"/>
          <w:rtl/>
        </w:rPr>
        <w:t>. ולדעת חכמים - וכן הלכה</w:t>
      </w:r>
      <w:r>
        <w:rPr>
          <w:rFonts w:ascii="David" w:hAnsi="David" w:cs="David"/>
          <w:color w:val="0000FF"/>
          <w:sz w:val="24"/>
          <w:szCs w:val="24"/>
          <w:vertAlign w:val="superscript"/>
          <w:rtl/>
        </w:rPr>
        <w:footnoteReference w:customMarkFollows="1" w:id="1158"/>
        <w:t>1158</w:t>
      </w:r>
      <w:r>
        <w:rPr>
          <w:rFonts w:ascii="David" w:hAnsi="David" w:cs="David"/>
          <w:color w:val="000000"/>
          <w:sz w:val="24"/>
          <w:szCs w:val="24"/>
          <w:rtl/>
        </w:rPr>
        <w:t xml:space="preserve"> - טהור</w:t>
      </w:r>
      <w:r>
        <w:rPr>
          <w:rFonts w:ascii="David" w:hAnsi="David" w:cs="David"/>
          <w:color w:val="0000FF"/>
          <w:sz w:val="24"/>
          <w:szCs w:val="24"/>
          <w:vertAlign w:val="superscript"/>
          <w:rtl/>
        </w:rPr>
        <w:footnoteReference w:customMarkFollows="1" w:id="1159"/>
        <w:t>1159</w:t>
      </w:r>
      <w:r>
        <w:rPr>
          <w:rFonts w:ascii="David" w:hAnsi="David" w:cs="David"/>
          <w:color w:val="000000"/>
          <w:sz w:val="24"/>
          <w:szCs w:val="24"/>
          <w:rtl/>
        </w:rPr>
        <w:t>, שקל וחומר הוא, אם על הטמא טהור, על הטהור לא כל שכן</w:t>
      </w:r>
      <w:r>
        <w:rPr>
          <w:rFonts w:ascii="David" w:hAnsi="David" w:cs="David"/>
          <w:color w:val="0000FF"/>
          <w:sz w:val="24"/>
          <w:szCs w:val="24"/>
          <w:vertAlign w:val="superscript"/>
          <w:rtl/>
        </w:rPr>
        <w:footnoteReference w:customMarkFollows="1" w:id="1160"/>
        <w:t>1160</w:t>
      </w:r>
      <w:r>
        <w:rPr>
          <w:rFonts w:ascii="David" w:hAnsi="David" w:cs="David"/>
          <w:color w:val="000000"/>
          <w:sz w:val="24"/>
          <w:szCs w:val="24"/>
          <w:rtl/>
        </w:rPr>
        <w:t>, ולא בא הכתוב "והזה הטהור על הטמא" אלא לדרשה אחרת, ועל כך, ע"ע הזאה (ב)</w:t>
      </w:r>
      <w:r>
        <w:rPr>
          <w:rFonts w:ascii="David" w:hAnsi="David" w:cs="David"/>
          <w:color w:val="0000FF"/>
          <w:sz w:val="24"/>
          <w:szCs w:val="24"/>
          <w:vertAlign w:val="superscript"/>
          <w:rtl/>
        </w:rPr>
        <w:footnoteReference w:customMarkFollows="1" w:id="1161"/>
        <w:t>1161</w:t>
      </w:r>
      <w:r>
        <w:rPr>
          <w:rFonts w:ascii="David" w:hAnsi="David" w:cs="David"/>
          <w:color w:val="000000"/>
          <w:sz w:val="24"/>
          <w:szCs w:val="24"/>
          <w:rtl/>
        </w:rPr>
        <w:t>. ואף על פי שהמים נוגעים בבשרו של המוזה בשעת הזאה - שהרי צריך שלא יהא דבר חוצץ בין הזאה לבשר</w:t>
      </w:r>
      <w:r>
        <w:rPr>
          <w:rFonts w:ascii="David" w:hAnsi="David" w:cs="David"/>
          <w:color w:val="0000FF"/>
          <w:sz w:val="24"/>
          <w:szCs w:val="24"/>
          <w:vertAlign w:val="superscript"/>
          <w:rtl/>
        </w:rPr>
        <w:footnoteReference w:customMarkFollows="1" w:id="1162"/>
        <w:t>1162</w:t>
      </w:r>
      <w:r>
        <w:rPr>
          <w:rFonts w:ascii="David" w:hAnsi="David" w:cs="David"/>
          <w:color w:val="000000"/>
          <w:sz w:val="24"/>
          <w:szCs w:val="24"/>
          <w:rtl/>
        </w:rPr>
        <w:t xml:space="preserve"> - אין הוא נטמא מהם בטומאת מגע* מי חטאת, שכל שהיא נגיעה בדרך הזאה, הרי זה בכלל הקל וחומר שאמרו חכמים, ולא אמרו שמטמא במגע אלא בנגיעה שלא בדרך </w:t>
      </w:r>
    </w:p>
    <w:p w14:paraId="54F78A4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הזאה</w:t>
      </w:r>
      <w:r>
        <w:rPr>
          <w:rFonts w:ascii="David" w:hAnsi="David" w:cs="David"/>
          <w:color w:val="0000FF"/>
          <w:sz w:val="24"/>
          <w:szCs w:val="24"/>
          <w:vertAlign w:val="superscript"/>
          <w:rtl/>
        </w:rPr>
        <w:footnoteReference w:customMarkFollows="1" w:id="1163"/>
        <w:t>1163</w:t>
      </w:r>
      <w:r>
        <w:rPr>
          <w:rFonts w:ascii="David" w:hAnsi="David" w:cs="David"/>
          <w:color w:val="000000"/>
          <w:sz w:val="24"/>
          <w:szCs w:val="24"/>
          <w:rtl/>
        </w:rPr>
        <w:t>, על הסוברים שכל מגע ומשא כשכוונתו של הנוגע והנושא לצורך הזאה אינו מטמא, עי' להלן</w:t>
      </w:r>
      <w:r>
        <w:rPr>
          <w:rFonts w:ascii="David" w:hAnsi="David" w:cs="David"/>
          <w:color w:val="0000FF"/>
          <w:sz w:val="24"/>
          <w:szCs w:val="24"/>
          <w:vertAlign w:val="superscript"/>
          <w:rtl/>
        </w:rPr>
        <w:footnoteReference w:customMarkFollows="1" w:id="1164"/>
        <w:t>1164</w:t>
      </w:r>
      <w:r>
        <w:rPr>
          <w:rFonts w:ascii="David" w:hAnsi="David" w:cs="David"/>
          <w:color w:val="000000"/>
          <w:sz w:val="24"/>
          <w:szCs w:val="24"/>
          <w:rtl/>
        </w:rPr>
        <w:t>. ויש סוברים שהטעם שאינם מטמאים אותו במגע, הוא משום שנעשית מצותם, והמים שנעשית מצותם אינם מטמאים לסוברים כן</w:t>
      </w:r>
      <w:r>
        <w:rPr>
          <w:rFonts w:ascii="David" w:hAnsi="David" w:cs="David"/>
          <w:color w:val="0000FF"/>
          <w:sz w:val="24"/>
          <w:szCs w:val="24"/>
          <w:vertAlign w:val="superscript"/>
          <w:rtl/>
        </w:rPr>
        <w:footnoteReference w:customMarkFollows="1" w:id="1165"/>
        <w:t>1165</w:t>
      </w:r>
      <w:r>
        <w:rPr>
          <w:rFonts w:ascii="David" w:hAnsi="David" w:cs="David"/>
          <w:color w:val="000000"/>
          <w:sz w:val="24"/>
          <w:szCs w:val="24"/>
          <w:rtl/>
        </w:rPr>
        <w:t xml:space="preserve">. </w:t>
      </w:r>
    </w:p>
    <w:p w14:paraId="378161A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[שלא לצורך כלל, וטמא דרבנן]</w:t>
      </w:r>
    </w:p>
    <w:p w14:paraId="798B03B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היתה ההזאה שלא לצורך כלל, כתבו אחרונים שאף על פי כן אין המוזה טמא לדעת חכמים</w:t>
      </w:r>
      <w:r>
        <w:rPr>
          <w:rFonts w:ascii="David" w:hAnsi="David" w:cs="David"/>
          <w:color w:val="0000FF"/>
          <w:sz w:val="24"/>
          <w:szCs w:val="24"/>
          <w:vertAlign w:val="superscript"/>
          <w:rtl/>
        </w:rPr>
        <w:footnoteReference w:customMarkFollows="1" w:id="1166"/>
        <w:t>1166</w:t>
      </w:r>
      <w:r>
        <w:rPr>
          <w:rFonts w:ascii="David" w:hAnsi="David" w:cs="David"/>
          <w:color w:val="000000"/>
          <w:sz w:val="24"/>
          <w:szCs w:val="24"/>
          <w:rtl/>
        </w:rPr>
        <w:t>, ומהם שכתבו שבאופן שהוא ספק טמא מדרבנן, אף לרבי עקיבא אינו נטמא, ולא אמר ר' עקיבא שנטמא, אלא בכהן גדול בימי פרישתו, שאף מדרבנן אינו אפילו כספק טמא, שהרי עובד במקדש באותם ימים</w:t>
      </w:r>
      <w:r>
        <w:rPr>
          <w:rFonts w:ascii="David" w:hAnsi="David" w:cs="David"/>
          <w:color w:val="0000FF"/>
          <w:sz w:val="24"/>
          <w:szCs w:val="24"/>
          <w:vertAlign w:val="superscript"/>
          <w:rtl/>
        </w:rPr>
        <w:footnoteReference w:customMarkFollows="1" w:id="1167"/>
        <w:t>1167</w:t>
      </w:r>
      <w:r>
        <w:rPr>
          <w:rFonts w:ascii="David" w:hAnsi="David" w:cs="David"/>
          <w:color w:val="000000"/>
          <w:sz w:val="24"/>
          <w:szCs w:val="24"/>
          <w:rtl/>
        </w:rPr>
        <w:t>. ויש שכתבו שאם ההזאה אינה לצורך כלל אף לדעת חכמים טמא</w:t>
      </w:r>
      <w:r>
        <w:rPr>
          <w:rFonts w:ascii="David" w:hAnsi="David" w:cs="David"/>
          <w:color w:val="0000FF"/>
          <w:sz w:val="24"/>
          <w:szCs w:val="24"/>
          <w:vertAlign w:val="superscript"/>
          <w:rtl/>
        </w:rPr>
        <w:footnoteReference w:customMarkFollows="1" w:id="1168"/>
        <w:t>1168</w:t>
      </w:r>
      <w:r>
        <w:rPr>
          <w:rFonts w:ascii="David" w:hAnsi="David" w:cs="David"/>
          <w:color w:val="000000"/>
          <w:sz w:val="24"/>
          <w:szCs w:val="24"/>
          <w:rtl/>
        </w:rPr>
        <w:t>, ולא טיהרו אלא כשתיקנו חכמים להזות, אף על פי שאינו טמא</w:t>
      </w:r>
      <w:r>
        <w:rPr>
          <w:rFonts w:ascii="David" w:hAnsi="David" w:cs="David"/>
          <w:color w:val="0000FF"/>
          <w:sz w:val="24"/>
          <w:szCs w:val="24"/>
          <w:vertAlign w:val="superscript"/>
          <w:rtl/>
        </w:rPr>
        <w:footnoteReference w:customMarkFollows="1" w:id="1169"/>
        <w:t>1169</w:t>
      </w:r>
      <w:r>
        <w:rPr>
          <w:rFonts w:ascii="David" w:hAnsi="David" w:cs="David"/>
          <w:color w:val="000000"/>
          <w:sz w:val="24"/>
          <w:szCs w:val="24"/>
          <w:rtl/>
        </w:rPr>
        <w:t>, וכן יש מן האחרונים סוברים שלדעת חכמים טהור שהיזו עליו ונגעה בו ההזאה נטמא</w:t>
      </w:r>
      <w:r>
        <w:rPr>
          <w:rFonts w:ascii="David" w:hAnsi="David" w:cs="David"/>
          <w:color w:val="0000FF"/>
          <w:sz w:val="24"/>
          <w:szCs w:val="24"/>
          <w:vertAlign w:val="superscript"/>
          <w:rtl/>
        </w:rPr>
        <w:footnoteReference w:customMarkFollows="1" w:id="1170"/>
        <w:t>1170</w:t>
      </w:r>
      <w:r>
        <w:rPr>
          <w:rFonts w:ascii="David" w:hAnsi="David" w:cs="David"/>
          <w:color w:val="000000"/>
          <w:sz w:val="24"/>
          <w:szCs w:val="24"/>
          <w:rtl/>
        </w:rPr>
        <w:t>, ולא אמרו חכמים שהוא טהור, אלא כשנתכוין להזות על הטמא, או מחמת ספק טומאה, ועל כך, עי' להלן: כשנפסלו</w:t>
      </w:r>
      <w:r>
        <w:rPr>
          <w:rFonts w:ascii="David" w:hAnsi="David" w:cs="David"/>
          <w:color w:val="0000FF"/>
          <w:sz w:val="24"/>
          <w:szCs w:val="24"/>
          <w:vertAlign w:val="superscript"/>
          <w:rtl/>
        </w:rPr>
        <w:footnoteReference w:customMarkFollows="1" w:id="1171"/>
        <w:t>1171</w:t>
      </w:r>
      <w:r>
        <w:rPr>
          <w:rFonts w:ascii="David" w:hAnsi="David" w:cs="David"/>
          <w:color w:val="000000"/>
          <w:sz w:val="24"/>
          <w:szCs w:val="24"/>
          <w:rtl/>
        </w:rPr>
        <w:t xml:space="preserve">. </w:t>
      </w:r>
    </w:p>
    <w:p w14:paraId="6519DC4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[המזה ולצורך הזאה]</w:t>
      </w:r>
    </w:p>
    <w:p w14:paraId="2C25033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המזה על הטמא, אינו נטמא</w:t>
      </w:r>
      <w:r>
        <w:rPr>
          <w:rFonts w:ascii="David" w:hAnsi="David" w:cs="David"/>
          <w:color w:val="0000FF"/>
          <w:sz w:val="24"/>
          <w:szCs w:val="24"/>
          <w:vertAlign w:val="superscript"/>
          <w:rtl/>
        </w:rPr>
        <w:footnoteReference w:customMarkFollows="1" w:id="1172"/>
        <w:t>1172</w:t>
      </w:r>
      <w:r>
        <w:rPr>
          <w:rFonts w:ascii="David" w:hAnsi="David" w:cs="David"/>
          <w:color w:val="000000"/>
          <w:sz w:val="24"/>
          <w:szCs w:val="24"/>
          <w:rtl/>
        </w:rPr>
        <w:t xml:space="preserve"> - על המקור מהכתוב שאינו נטמא, עי' לעיל</w:t>
      </w:r>
      <w:r>
        <w:rPr>
          <w:rFonts w:ascii="David" w:hAnsi="David" w:cs="David"/>
          <w:color w:val="0000FF"/>
          <w:sz w:val="24"/>
          <w:szCs w:val="24"/>
          <w:vertAlign w:val="superscript"/>
          <w:rtl/>
        </w:rPr>
        <w:footnoteReference w:customMarkFollows="1" w:id="1173"/>
        <w:t>1173</w:t>
      </w:r>
      <w:r>
        <w:rPr>
          <w:rFonts w:ascii="David" w:hAnsi="David" w:cs="David"/>
          <w:color w:val="000000"/>
          <w:sz w:val="24"/>
          <w:szCs w:val="24"/>
          <w:rtl/>
        </w:rPr>
        <w:t xml:space="preserve"> - ואינו כנוגע במי חטאת - ונושאם - שהוא נטמא</w:t>
      </w:r>
      <w:r>
        <w:rPr>
          <w:rFonts w:ascii="David" w:hAnsi="David" w:cs="David"/>
          <w:color w:val="0000FF"/>
          <w:sz w:val="24"/>
          <w:szCs w:val="24"/>
          <w:vertAlign w:val="superscript"/>
          <w:rtl/>
        </w:rPr>
        <w:footnoteReference w:customMarkFollows="1" w:id="1174"/>
        <w:t>1174</w:t>
      </w:r>
      <w:r>
        <w:rPr>
          <w:rFonts w:ascii="David" w:hAnsi="David" w:cs="David"/>
          <w:color w:val="000000"/>
          <w:sz w:val="24"/>
          <w:szCs w:val="24"/>
          <w:rtl/>
        </w:rPr>
        <w:t>, ועל זה אמר שלמה: אמרתי אחכמה והיא רחוקה ממני</w:t>
      </w:r>
      <w:r>
        <w:rPr>
          <w:rFonts w:ascii="David" w:hAnsi="David" w:cs="David"/>
          <w:color w:val="0000FF"/>
          <w:sz w:val="24"/>
          <w:szCs w:val="24"/>
          <w:vertAlign w:val="superscript"/>
          <w:rtl/>
        </w:rPr>
        <w:footnoteReference w:customMarkFollows="1" w:id="1175"/>
        <w:t>1175</w:t>
      </w:r>
      <w:r>
        <w:rPr>
          <w:rFonts w:ascii="David" w:hAnsi="David" w:cs="David"/>
          <w:color w:val="000000"/>
          <w:sz w:val="24"/>
          <w:szCs w:val="24"/>
          <w:rtl/>
        </w:rPr>
        <w:t>. וכן שנינו בתוספתא: טהור שהיזה על הטמא, טהר המזה וטהר הטמא, הרי זה אומר טיהרני וטיהרתיו</w:t>
      </w:r>
      <w:r>
        <w:rPr>
          <w:rFonts w:ascii="David" w:hAnsi="David" w:cs="David"/>
          <w:color w:val="0000FF"/>
          <w:sz w:val="24"/>
          <w:szCs w:val="24"/>
          <w:vertAlign w:val="superscript"/>
          <w:rtl/>
        </w:rPr>
        <w:footnoteReference w:customMarkFollows="1" w:id="1176"/>
        <w:t>1176</w:t>
      </w:r>
      <w:r>
        <w:rPr>
          <w:rFonts w:ascii="David" w:hAnsi="David" w:cs="David"/>
          <w:color w:val="000000"/>
          <w:sz w:val="24"/>
          <w:szCs w:val="24"/>
          <w:rtl/>
        </w:rPr>
        <w:t>, היינו, שהמזה טהור מחמת מי שהיזה עליו, לפי שאילו לא היזה עליו, היה המזה טמא מחמת היותו נושא כשיעור הזאה</w:t>
      </w:r>
      <w:r>
        <w:rPr>
          <w:rFonts w:ascii="David" w:hAnsi="David" w:cs="David"/>
          <w:color w:val="0000FF"/>
          <w:sz w:val="24"/>
          <w:szCs w:val="24"/>
          <w:vertAlign w:val="superscript"/>
          <w:rtl/>
        </w:rPr>
        <w:footnoteReference w:customMarkFollows="1" w:id="1177"/>
        <w:t>1177</w:t>
      </w:r>
      <w:r>
        <w:rPr>
          <w:rFonts w:ascii="David" w:hAnsi="David" w:cs="David"/>
          <w:color w:val="000000"/>
          <w:sz w:val="24"/>
          <w:szCs w:val="24"/>
          <w:rtl/>
        </w:rPr>
        <w:t xml:space="preserve">. </w:t>
      </w:r>
    </w:p>
    <w:p w14:paraId="22F9F46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xml:space="preserve">ונחלקו בטעם הדבר: א) יש שכתבו </w:t>
      </w:r>
    </w:p>
    <w:p w14:paraId="6A220AE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שהטעם שהמזה אינו נטמא, אף על פי שהוא נושא מי חטאת שיש בהם שיעור הזאה, הוא לפי שהוא נושאם לצורך הזאה</w:t>
      </w:r>
      <w:r>
        <w:rPr>
          <w:rFonts w:ascii="David" w:hAnsi="David" w:cs="David"/>
          <w:color w:val="0000FF"/>
          <w:sz w:val="24"/>
          <w:szCs w:val="24"/>
          <w:vertAlign w:val="superscript"/>
          <w:rtl/>
        </w:rPr>
        <w:footnoteReference w:customMarkFollows="1" w:id="1178"/>
        <w:t>1178</w:t>
      </w:r>
      <w:r>
        <w:rPr>
          <w:rFonts w:ascii="David" w:hAnsi="David" w:cs="David"/>
          <w:color w:val="000000"/>
          <w:sz w:val="24"/>
          <w:szCs w:val="24"/>
          <w:rtl/>
        </w:rPr>
        <w:t>, וכן יש מן הראשונים שכתבו, שטומאת מי חטאת, אינה נוהגת - בין באדם בין בכלים</w:t>
      </w:r>
      <w:r>
        <w:rPr>
          <w:rFonts w:ascii="David" w:hAnsi="David" w:cs="David"/>
          <w:color w:val="0000FF"/>
          <w:sz w:val="24"/>
          <w:szCs w:val="24"/>
          <w:vertAlign w:val="superscript"/>
          <w:rtl/>
        </w:rPr>
        <w:footnoteReference w:customMarkFollows="1" w:id="1179"/>
        <w:t>1179</w:t>
      </w:r>
      <w:r>
        <w:rPr>
          <w:rFonts w:ascii="David" w:hAnsi="David" w:cs="David"/>
          <w:color w:val="000000"/>
          <w:sz w:val="24"/>
          <w:szCs w:val="24"/>
          <w:rtl/>
        </w:rPr>
        <w:t xml:space="preserve"> - אלא כשנגע בהם או נשאם שלא לצורך הזאה*, אבל הנוגע או נושא לצורך הזאה, אינו נטמא</w:t>
      </w:r>
      <w:r>
        <w:rPr>
          <w:rFonts w:ascii="David" w:hAnsi="David" w:cs="David"/>
          <w:color w:val="0000FF"/>
          <w:sz w:val="24"/>
          <w:szCs w:val="24"/>
          <w:vertAlign w:val="superscript"/>
          <w:rtl/>
        </w:rPr>
        <w:footnoteReference w:customMarkFollows="1" w:id="1180"/>
        <w:t>1180</w:t>
      </w:r>
      <w:r>
        <w:rPr>
          <w:rFonts w:ascii="David" w:hAnsi="David" w:cs="David"/>
          <w:color w:val="000000"/>
          <w:sz w:val="24"/>
          <w:szCs w:val="24"/>
          <w:rtl/>
        </w:rPr>
        <w:t>, שכל שהוא לצורך מצוה סברא הוא שיהיה טהור</w:t>
      </w:r>
      <w:r>
        <w:rPr>
          <w:rFonts w:ascii="David" w:hAnsi="David" w:cs="David"/>
          <w:color w:val="0000FF"/>
          <w:sz w:val="24"/>
          <w:szCs w:val="24"/>
          <w:vertAlign w:val="superscript"/>
          <w:rtl/>
        </w:rPr>
        <w:footnoteReference w:customMarkFollows="1" w:id="1181"/>
        <w:t>1181</w:t>
      </w:r>
      <w:r>
        <w:rPr>
          <w:rFonts w:ascii="David" w:hAnsi="David" w:cs="David"/>
          <w:color w:val="000000"/>
          <w:sz w:val="24"/>
          <w:szCs w:val="24"/>
          <w:rtl/>
        </w:rPr>
        <w:t>, ומהם שכתבו שאין חשוב צורך הזאה אלא אחר שהוציא האזוב* מהכלי, אבל קודם שהוציאו מהכלי אינו חשוב צורך הזאה, ואם בשעת טבילת האזוב נגע במים, נטמא</w:t>
      </w:r>
      <w:r>
        <w:rPr>
          <w:rFonts w:ascii="David" w:hAnsi="David" w:cs="David"/>
          <w:color w:val="0000FF"/>
          <w:sz w:val="24"/>
          <w:szCs w:val="24"/>
          <w:vertAlign w:val="superscript"/>
          <w:rtl/>
        </w:rPr>
        <w:footnoteReference w:customMarkFollows="1" w:id="1182"/>
        <w:t>1182</w:t>
      </w:r>
      <w:r>
        <w:rPr>
          <w:rFonts w:ascii="David" w:hAnsi="David" w:cs="David"/>
          <w:color w:val="000000"/>
          <w:sz w:val="24"/>
          <w:szCs w:val="24"/>
          <w:rtl/>
        </w:rPr>
        <w:t>, ויש סוברים שאף נשיאת מי חטאת בצלוחית חשובה צורך</w:t>
      </w:r>
      <w:r>
        <w:rPr>
          <w:rFonts w:ascii="David" w:hAnsi="David" w:cs="David"/>
          <w:color w:val="0000FF"/>
          <w:sz w:val="24"/>
          <w:szCs w:val="24"/>
          <w:vertAlign w:val="superscript"/>
          <w:rtl/>
        </w:rPr>
        <w:footnoteReference w:customMarkFollows="1" w:id="1183"/>
        <w:t>1183</w:t>
      </w:r>
      <w:r>
        <w:rPr>
          <w:rFonts w:ascii="David" w:hAnsi="David" w:cs="David"/>
          <w:color w:val="000000"/>
          <w:sz w:val="24"/>
          <w:szCs w:val="24"/>
          <w:rtl/>
        </w:rPr>
        <w:t>, ויש שכתבו שאם נוגע במי חטאת להוציא מהם דבר שנתערב בהם, נחלקו תנאים אם חשוב נגיעה לצורך</w:t>
      </w:r>
      <w:r>
        <w:rPr>
          <w:rFonts w:ascii="David" w:hAnsi="David" w:cs="David"/>
          <w:color w:val="0000FF"/>
          <w:sz w:val="24"/>
          <w:szCs w:val="24"/>
          <w:vertAlign w:val="superscript"/>
          <w:rtl/>
        </w:rPr>
        <w:footnoteReference w:customMarkFollows="1" w:id="1184"/>
        <w:t>1184</w:t>
      </w:r>
      <w:r>
        <w:rPr>
          <w:rFonts w:ascii="David" w:hAnsi="David" w:cs="David"/>
          <w:color w:val="000000"/>
          <w:sz w:val="24"/>
          <w:szCs w:val="24"/>
          <w:rtl/>
        </w:rPr>
        <w:t>, ויש שכתבו שהמערב מי חטאת, אינו נטמא אלא במגע ולא במשא, שהמשא הוא לצורך, אבל המגע אינו לצורך, שהיה יכול לערב בלא נגיעה</w:t>
      </w:r>
      <w:r>
        <w:rPr>
          <w:rFonts w:ascii="David" w:hAnsi="David" w:cs="David"/>
          <w:color w:val="0000FF"/>
          <w:sz w:val="24"/>
          <w:szCs w:val="24"/>
          <w:vertAlign w:val="superscript"/>
          <w:rtl/>
        </w:rPr>
        <w:footnoteReference w:customMarkFollows="1" w:id="1185"/>
        <w:t>1185</w:t>
      </w:r>
      <w:r>
        <w:rPr>
          <w:rFonts w:ascii="David" w:hAnsi="David" w:cs="David"/>
          <w:color w:val="000000"/>
          <w:sz w:val="24"/>
          <w:szCs w:val="24"/>
          <w:rtl/>
        </w:rPr>
        <w:t>. וכתבו ראשונים, שאף אם לא היזה לבסוף, כל שנתכוין להזות, חשוב צורך הזאה ואינו נטמא</w:t>
      </w:r>
      <w:r>
        <w:rPr>
          <w:rFonts w:ascii="David" w:hAnsi="David" w:cs="David"/>
          <w:color w:val="0000FF"/>
          <w:sz w:val="24"/>
          <w:szCs w:val="24"/>
          <w:vertAlign w:val="superscript"/>
          <w:rtl/>
        </w:rPr>
        <w:footnoteReference w:customMarkFollows="1" w:id="1186"/>
        <w:t>1186</w:t>
      </w:r>
      <w:r>
        <w:rPr>
          <w:rFonts w:ascii="David" w:hAnsi="David" w:cs="David"/>
          <w:color w:val="000000"/>
          <w:sz w:val="24"/>
          <w:szCs w:val="24"/>
          <w:rtl/>
        </w:rPr>
        <w:t>, וכתבו שאותה ששנינו במשנה לגירסתם, שאם נתכוין להזות על האדם והיזה על הבהמה רשאי לחזור ולהזות ממים אלו כדי לטהר, ואם נתכוין להזות על הבהמה והיזה על האדם, אינו רשאי לחזור ולהזות מן המים</w:t>
      </w:r>
      <w:r>
        <w:rPr>
          <w:rFonts w:ascii="David" w:hAnsi="David" w:cs="David"/>
          <w:color w:val="0000FF"/>
          <w:sz w:val="24"/>
          <w:szCs w:val="24"/>
          <w:vertAlign w:val="superscript"/>
          <w:rtl/>
        </w:rPr>
        <w:footnoteReference w:customMarkFollows="1" w:id="1187"/>
        <w:t>1187</w:t>
      </w:r>
      <w:r>
        <w:rPr>
          <w:rFonts w:ascii="David" w:hAnsi="David" w:cs="David"/>
          <w:color w:val="000000"/>
          <w:sz w:val="24"/>
          <w:szCs w:val="24"/>
          <w:rtl/>
        </w:rPr>
        <w:t>, שיש שפירשו הטעם שאם נתכוין להזות על האדם לא נטמא בנשיאתם, ואם נתכוין להזות על הבהמה נטמא בנשיאתם</w:t>
      </w:r>
      <w:r>
        <w:rPr>
          <w:rFonts w:ascii="David" w:hAnsi="David" w:cs="David"/>
          <w:color w:val="0000FF"/>
          <w:sz w:val="24"/>
          <w:szCs w:val="24"/>
          <w:vertAlign w:val="superscript"/>
          <w:rtl/>
        </w:rPr>
        <w:footnoteReference w:customMarkFollows="1" w:id="1188"/>
        <w:t>1188</w:t>
      </w:r>
      <w:r>
        <w:rPr>
          <w:rFonts w:ascii="David" w:hAnsi="David" w:cs="David"/>
          <w:color w:val="000000"/>
          <w:sz w:val="24"/>
          <w:szCs w:val="24"/>
          <w:rtl/>
        </w:rPr>
        <w:t xml:space="preserve">, היינו מפני שהולכים אחר כוונתו, וכשנתכוין להזות על האדם אין כאן נושא מי חטאת שלא לצורך הזאה, ולפיכך לא נטמא, וכשנתכוין </w:t>
      </w:r>
    </w:p>
    <w:p w14:paraId="370A1B7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להזות על הבהמה שאינה מקבלת טומאה - והזאה על דבר שאינו מקבל טומאה אינה חשובה הזאה</w:t>
      </w:r>
      <w:r>
        <w:rPr>
          <w:rFonts w:ascii="David" w:hAnsi="David" w:cs="David"/>
          <w:color w:val="0000FF"/>
          <w:sz w:val="24"/>
          <w:szCs w:val="24"/>
          <w:vertAlign w:val="superscript"/>
          <w:rtl/>
        </w:rPr>
        <w:footnoteReference w:customMarkFollows="1" w:id="1189"/>
        <w:t>1189</w:t>
      </w:r>
      <w:r>
        <w:rPr>
          <w:rFonts w:ascii="David" w:hAnsi="David" w:cs="David"/>
          <w:color w:val="000000"/>
          <w:sz w:val="24"/>
          <w:szCs w:val="24"/>
          <w:rtl/>
        </w:rPr>
        <w:t xml:space="preserve"> - נמצא שהוא נושא שלא לצורך הזאה ונטמא</w:t>
      </w:r>
      <w:r>
        <w:rPr>
          <w:rFonts w:ascii="David" w:hAnsi="David" w:cs="David"/>
          <w:color w:val="0000FF"/>
          <w:sz w:val="24"/>
          <w:szCs w:val="24"/>
          <w:vertAlign w:val="superscript"/>
          <w:rtl/>
        </w:rPr>
        <w:footnoteReference w:customMarkFollows="1" w:id="1190"/>
        <w:t>1190</w:t>
      </w:r>
      <w:r>
        <w:rPr>
          <w:rFonts w:ascii="David" w:hAnsi="David" w:cs="David"/>
          <w:color w:val="000000"/>
          <w:sz w:val="24"/>
          <w:szCs w:val="24"/>
          <w:rtl/>
        </w:rPr>
        <w:t>, וכיון שנטמא חוזר ומטמא את המים - לסוברים שמי חטאת מטמאים לחטאת</w:t>
      </w:r>
      <w:r>
        <w:rPr>
          <w:rFonts w:ascii="David" w:hAnsi="David" w:cs="David"/>
          <w:color w:val="0000FF"/>
          <w:sz w:val="24"/>
          <w:szCs w:val="24"/>
          <w:vertAlign w:val="superscript"/>
          <w:rtl/>
        </w:rPr>
        <w:footnoteReference w:customMarkFollows="1" w:id="1191"/>
        <w:t>1191</w:t>
      </w:r>
      <w:r>
        <w:rPr>
          <w:rFonts w:ascii="David" w:hAnsi="David" w:cs="David"/>
          <w:color w:val="000000"/>
          <w:sz w:val="24"/>
          <w:szCs w:val="24"/>
          <w:rtl/>
        </w:rPr>
        <w:t xml:space="preserve"> - ונפסלים</w:t>
      </w:r>
      <w:r>
        <w:rPr>
          <w:rFonts w:ascii="David" w:hAnsi="David" w:cs="David"/>
          <w:color w:val="0000FF"/>
          <w:sz w:val="24"/>
          <w:szCs w:val="24"/>
          <w:vertAlign w:val="superscript"/>
          <w:rtl/>
        </w:rPr>
        <w:footnoteReference w:customMarkFollows="1" w:id="1192"/>
        <w:t>1192</w:t>
      </w:r>
      <w:r>
        <w:rPr>
          <w:rFonts w:ascii="David" w:hAnsi="David" w:cs="David"/>
          <w:color w:val="000000"/>
          <w:sz w:val="24"/>
          <w:szCs w:val="24"/>
          <w:rtl/>
        </w:rPr>
        <w:t>, ועוד, שטמא פסול להזאה</w:t>
      </w:r>
      <w:r>
        <w:rPr>
          <w:rFonts w:ascii="David" w:hAnsi="David" w:cs="David"/>
          <w:color w:val="0000FF"/>
          <w:sz w:val="24"/>
          <w:szCs w:val="24"/>
          <w:vertAlign w:val="superscript"/>
          <w:rtl/>
        </w:rPr>
        <w:footnoteReference w:customMarkFollows="1" w:id="1193"/>
        <w:t>1193</w:t>
      </w:r>
      <w:r>
        <w:rPr>
          <w:rFonts w:ascii="David" w:hAnsi="David" w:cs="David"/>
          <w:color w:val="000000"/>
          <w:sz w:val="24"/>
          <w:szCs w:val="24"/>
          <w:rtl/>
        </w:rPr>
        <w:t>. ויש שכתבו, שאף אם מתחילה נתכוין להזות על הבהמה, כל שלבסוף היזה על האדם, לא נטמא, שבין אם נתכוין מתחילה להזות, ובין אם היזה בפועל, חשוב נושא לצורך</w:t>
      </w:r>
      <w:r>
        <w:rPr>
          <w:rFonts w:ascii="David" w:hAnsi="David" w:cs="David"/>
          <w:color w:val="0000FF"/>
          <w:sz w:val="24"/>
          <w:szCs w:val="24"/>
          <w:vertAlign w:val="superscript"/>
          <w:rtl/>
        </w:rPr>
        <w:footnoteReference w:customMarkFollows="1" w:id="1194"/>
        <w:t>1194</w:t>
      </w:r>
      <w:r>
        <w:rPr>
          <w:rFonts w:ascii="David" w:hAnsi="David" w:cs="David"/>
          <w:color w:val="000000"/>
          <w:sz w:val="24"/>
          <w:szCs w:val="24"/>
          <w:rtl/>
        </w:rPr>
        <w:t>. ואפילו היה נושא מי חטאת שנפסלו להזאה מדבריהם - שהם מטמאים מן התורה כמים כשרים</w:t>
      </w:r>
      <w:r>
        <w:rPr>
          <w:rFonts w:ascii="David" w:hAnsi="David" w:cs="David"/>
          <w:color w:val="0000FF"/>
          <w:sz w:val="24"/>
          <w:szCs w:val="24"/>
          <w:vertAlign w:val="superscript"/>
          <w:rtl/>
        </w:rPr>
        <w:footnoteReference w:customMarkFollows="1" w:id="1195"/>
        <w:t>1195</w:t>
      </w:r>
      <w:r>
        <w:rPr>
          <w:rFonts w:ascii="David" w:hAnsi="David" w:cs="David"/>
          <w:color w:val="000000"/>
          <w:sz w:val="24"/>
          <w:szCs w:val="24"/>
          <w:rtl/>
        </w:rPr>
        <w:t xml:space="preserve"> - ובשעת נשיאתם לא ידע שנפסלו, ונתכוין להזות מהם, יש מן האחרונים שכתבו בדעת ראשונים, שהרי זה כנושא לצורך הזאה, ואינו נטמא</w:t>
      </w:r>
      <w:r>
        <w:rPr>
          <w:rFonts w:ascii="David" w:hAnsi="David" w:cs="David"/>
          <w:color w:val="0000FF"/>
          <w:sz w:val="24"/>
          <w:szCs w:val="24"/>
          <w:vertAlign w:val="superscript"/>
          <w:rtl/>
        </w:rPr>
        <w:footnoteReference w:customMarkFollows="1" w:id="1196"/>
        <w:t>1196</w:t>
      </w:r>
      <w:r>
        <w:rPr>
          <w:rFonts w:ascii="David" w:hAnsi="David" w:cs="David"/>
          <w:color w:val="000000"/>
          <w:sz w:val="24"/>
          <w:szCs w:val="24"/>
          <w:rtl/>
        </w:rPr>
        <w:t xml:space="preserve">. </w:t>
      </w:r>
    </w:p>
    <w:p w14:paraId="19CB5C6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 ויש מן האחרונים שכתבו בדעת ראשונים שהם חולקים על כל זה וסוברים, שמי חטאת מטמאים אפילו לצורך הזאה</w:t>
      </w:r>
      <w:r>
        <w:rPr>
          <w:rFonts w:ascii="David" w:hAnsi="David" w:cs="David"/>
          <w:color w:val="0000FF"/>
          <w:sz w:val="24"/>
          <w:szCs w:val="24"/>
          <w:vertAlign w:val="superscript"/>
          <w:rtl/>
        </w:rPr>
        <w:footnoteReference w:customMarkFollows="1" w:id="1197"/>
        <w:t>1197</w:t>
      </w:r>
      <w:r>
        <w:rPr>
          <w:rFonts w:ascii="David" w:hAnsi="David" w:cs="David"/>
          <w:color w:val="000000"/>
          <w:sz w:val="24"/>
          <w:szCs w:val="24"/>
          <w:rtl/>
        </w:rPr>
        <w:t>, ומכל מקום המזה אינו נטמא</w:t>
      </w:r>
      <w:r>
        <w:rPr>
          <w:rFonts w:ascii="David" w:hAnsi="David" w:cs="David"/>
          <w:color w:val="0000FF"/>
          <w:sz w:val="24"/>
          <w:szCs w:val="24"/>
          <w:vertAlign w:val="superscript"/>
          <w:rtl/>
        </w:rPr>
        <w:footnoteReference w:customMarkFollows="1" w:id="1198"/>
        <w:t>1198</w:t>
      </w:r>
      <w:r>
        <w:rPr>
          <w:rFonts w:ascii="David" w:hAnsi="David" w:cs="David"/>
          <w:color w:val="000000"/>
          <w:sz w:val="24"/>
          <w:szCs w:val="24"/>
          <w:rtl/>
        </w:rPr>
        <w:t>. וכעין זה יש מן הראשונים שכתבו שלא נטהר הנוגע והנושא משום צורך הזאה, אלא כשהיזה לבסוף</w:t>
      </w:r>
      <w:r>
        <w:rPr>
          <w:rFonts w:ascii="David" w:hAnsi="David" w:cs="David"/>
          <w:color w:val="0000FF"/>
          <w:sz w:val="24"/>
          <w:szCs w:val="24"/>
          <w:vertAlign w:val="superscript"/>
          <w:rtl/>
        </w:rPr>
        <w:footnoteReference w:customMarkFollows="1" w:id="1199"/>
        <w:t>1199</w:t>
      </w:r>
      <w:r>
        <w:rPr>
          <w:rFonts w:ascii="David" w:hAnsi="David" w:cs="David"/>
          <w:color w:val="000000"/>
          <w:sz w:val="24"/>
          <w:szCs w:val="24"/>
          <w:rtl/>
        </w:rPr>
        <w:t>. וכעין זה יש שכתבו, שאם היזה על דבר שאינו מקבל טומאה, אף על פי שהיתה כוונתו להזות על דבר המקבל טומאה, נטמא המזה, ואם היזה על דבר המקבל טומאה, אף על פי שלא היתה כוונתו מתחילה להזות עליו, לא נטמא</w:t>
      </w:r>
      <w:r>
        <w:rPr>
          <w:rFonts w:ascii="David" w:hAnsi="David" w:cs="David"/>
          <w:color w:val="0000FF"/>
          <w:sz w:val="24"/>
          <w:szCs w:val="24"/>
          <w:vertAlign w:val="superscript"/>
          <w:rtl/>
        </w:rPr>
        <w:footnoteReference w:customMarkFollows="1" w:id="1200"/>
        <w:t>1200</w:t>
      </w:r>
      <w:r>
        <w:rPr>
          <w:rFonts w:ascii="David" w:hAnsi="David" w:cs="David"/>
          <w:color w:val="000000"/>
          <w:sz w:val="24"/>
          <w:szCs w:val="24"/>
          <w:rtl/>
        </w:rPr>
        <w:t xml:space="preserve">, ופירשו אחרונים שהיינו כשלא נמלך, והוברר שהמעשה שעשה מתחילה היה הזאה על דבר המקבל טומאה, אבל אם נמלך </w:t>
      </w:r>
    </w:p>
    <w:p w14:paraId="29A47E3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ועשה מעשה אחר, אין מעשה זה מטהר את הטומאה שהיתה בנשיאתו מתחילה על דעת להזות על דבר שאינו מקבל טומאה</w:t>
      </w:r>
      <w:r>
        <w:rPr>
          <w:rFonts w:ascii="David" w:hAnsi="David" w:cs="David"/>
          <w:color w:val="0000FF"/>
          <w:sz w:val="24"/>
          <w:szCs w:val="24"/>
          <w:vertAlign w:val="superscript"/>
          <w:rtl/>
        </w:rPr>
        <w:footnoteReference w:customMarkFollows="1" w:id="1201"/>
        <w:t>1201</w:t>
      </w:r>
      <w:r>
        <w:rPr>
          <w:rFonts w:ascii="David" w:hAnsi="David" w:cs="David"/>
          <w:color w:val="000000"/>
          <w:sz w:val="24"/>
          <w:szCs w:val="24"/>
          <w:rtl/>
        </w:rPr>
        <w:t xml:space="preserve">. </w:t>
      </w:r>
    </w:p>
    <w:p w14:paraId="2689B5B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[בהזאה על טהור ובלילה]</w:t>
      </w:r>
    </w:p>
    <w:p w14:paraId="0C0C920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המזה על הטהור נחלקו בו אם נטמא: יש מן האחרונים שכתבו שאם נוגע במי חטאת, או נושא מים שיש בהם שיעור הזאה נטמא</w:t>
      </w:r>
      <w:r>
        <w:rPr>
          <w:rFonts w:ascii="David" w:hAnsi="David" w:cs="David"/>
          <w:color w:val="0000FF"/>
          <w:sz w:val="24"/>
          <w:szCs w:val="24"/>
          <w:vertAlign w:val="superscript"/>
          <w:rtl/>
        </w:rPr>
        <w:footnoteReference w:customMarkFollows="1" w:id="1202"/>
        <w:t>1202</w:t>
      </w:r>
      <w:r>
        <w:rPr>
          <w:rFonts w:ascii="David" w:hAnsi="David" w:cs="David"/>
          <w:color w:val="000000"/>
          <w:sz w:val="24"/>
          <w:szCs w:val="24"/>
          <w:rtl/>
        </w:rPr>
        <w:t>. ויש מן הראשונים והאחרונים שכתבו שאף מזה על הטהור אינו נטמא, גם אם הוא נוגע במים או נושאם, שאף הזאה על טהור חשובה הזאה</w:t>
      </w:r>
      <w:r>
        <w:rPr>
          <w:rFonts w:ascii="David" w:hAnsi="David" w:cs="David"/>
          <w:color w:val="0000FF"/>
          <w:sz w:val="24"/>
          <w:szCs w:val="24"/>
          <w:vertAlign w:val="superscript"/>
          <w:rtl/>
        </w:rPr>
        <w:footnoteReference w:customMarkFollows="1" w:id="1203"/>
        <w:t>1203</w:t>
      </w:r>
      <w:r>
        <w:rPr>
          <w:rFonts w:ascii="David" w:hAnsi="David" w:cs="David"/>
          <w:color w:val="000000"/>
          <w:sz w:val="24"/>
          <w:szCs w:val="24"/>
          <w:rtl/>
        </w:rPr>
        <w:t>, אלא שלסוברים שהטהור המוזה נטמא</w:t>
      </w:r>
      <w:r>
        <w:rPr>
          <w:rFonts w:ascii="David" w:hAnsi="David" w:cs="David"/>
          <w:color w:val="0000FF"/>
          <w:sz w:val="24"/>
          <w:szCs w:val="24"/>
          <w:vertAlign w:val="superscript"/>
          <w:rtl/>
        </w:rPr>
        <w:footnoteReference w:customMarkFollows="1" w:id="1204"/>
        <w:t>1204</w:t>
      </w:r>
      <w:r>
        <w:rPr>
          <w:rFonts w:ascii="David" w:hAnsi="David" w:cs="David"/>
          <w:color w:val="000000"/>
          <w:sz w:val="24"/>
          <w:szCs w:val="24"/>
          <w:rtl/>
        </w:rPr>
        <w:t>, צידדו ראשונים לומר שאף המזה נטמא, שהוא חשוב כנושא מי חטאת</w:t>
      </w:r>
      <w:r>
        <w:rPr>
          <w:rFonts w:ascii="David" w:hAnsi="David" w:cs="David"/>
          <w:color w:val="0000FF"/>
          <w:sz w:val="24"/>
          <w:szCs w:val="24"/>
          <w:vertAlign w:val="superscript"/>
          <w:rtl/>
        </w:rPr>
        <w:footnoteReference w:customMarkFollows="1" w:id="1205"/>
        <w:t>1205</w:t>
      </w:r>
      <w:r>
        <w:rPr>
          <w:rFonts w:ascii="David" w:hAnsi="David" w:cs="David"/>
          <w:color w:val="000000"/>
          <w:sz w:val="24"/>
          <w:szCs w:val="24"/>
          <w:rtl/>
        </w:rPr>
        <w:t>. וכעין זה יש שכתבו שאם היה מזה על הטהור מחמת מעלה, חשוב נושא לצורך ואינו נטמא</w:t>
      </w:r>
      <w:r>
        <w:rPr>
          <w:rFonts w:ascii="David" w:hAnsi="David" w:cs="David"/>
          <w:color w:val="0000FF"/>
          <w:sz w:val="24"/>
          <w:szCs w:val="24"/>
          <w:vertAlign w:val="superscript"/>
          <w:rtl/>
        </w:rPr>
        <w:footnoteReference w:customMarkFollows="1" w:id="1206"/>
        <w:t>1206</w:t>
      </w:r>
      <w:r>
        <w:rPr>
          <w:rFonts w:ascii="David" w:hAnsi="David" w:cs="David"/>
          <w:color w:val="000000"/>
          <w:sz w:val="24"/>
          <w:szCs w:val="24"/>
          <w:rtl/>
        </w:rPr>
        <w:t>, ויש שכתבו שכל שבא להזות על דבר המקבל טומאה, חשוב נושא לצורך ואינו נטמא</w:t>
      </w:r>
      <w:r>
        <w:rPr>
          <w:rFonts w:ascii="David" w:hAnsi="David" w:cs="David"/>
          <w:color w:val="0000FF"/>
          <w:sz w:val="24"/>
          <w:szCs w:val="24"/>
          <w:vertAlign w:val="superscript"/>
          <w:rtl/>
        </w:rPr>
        <w:footnoteReference w:customMarkFollows="1" w:id="1207"/>
        <w:t>1207</w:t>
      </w:r>
      <w:r>
        <w:rPr>
          <w:rFonts w:ascii="David" w:hAnsi="David" w:cs="David"/>
          <w:color w:val="000000"/>
          <w:sz w:val="24"/>
          <w:szCs w:val="24"/>
          <w:rtl/>
        </w:rPr>
        <w:t>. אבל אם היזה בלילה, נטמא המזה</w:t>
      </w:r>
      <w:r>
        <w:rPr>
          <w:rFonts w:ascii="David" w:hAnsi="David" w:cs="David"/>
          <w:color w:val="0000FF"/>
          <w:sz w:val="24"/>
          <w:szCs w:val="24"/>
          <w:vertAlign w:val="superscript"/>
          <w:rtl/>
        </w:rPr>
        <w:footnoteReference w:customMarkFollows="1" w:id="1208"/>
        <w:t>1208</w:t>
      </w:r>
      <w:r>
        <w:rPr>
          <w:rFonts w:ascii="David" w:hAnsi="David" w:cs="David"/>
          <w:color w:val="000000"/>
          <w:sz w:val="24"/>
          <w:szCs w:val="24"/>
          <w:rtl/>
        </w:rPr>
        <w:t xml:space="preserve">. </w:t>
      </w:r>
    </w:p>
    <w:p w14:paraId="594C10D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[לטהור לחטאת]</w:t>
      </w:r>
    </w:p>
    <w:p w14:paraId="562F7F5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שגופו טהור לחטאת והוא ראוי להזות</w:t>
      </w:r>
      <w:r>
        <w:rPr>
          <w:rFonts w:ascii="David" w:hAnsi="David" w:cs="David"/>
          <w:color w:val="0000FF"/>
          <w:sz w:val="24"/>
          <w:szCs w:val="24"/>
          <w:vertAlign w:val="superscript"/>
          <w:rtl/>
        </w:rPr>
        <w:footnoteReference w:customMarkFollows="1" w:id="1209"/>
        <w:t>1209</w:t>
      </w:r>
      <w:r>
        <w:rPr>
          <w:rFonts w:ascii="David" w:hAnsi="David" w:cs="David"/>
          <w:color w:val="000000"/>
          <w:sz w:val="24"/>
          <w:szCs w:val="24"/>
          <w:rtl/>
        </w:rPr>
        <w:t>, יש סוברים, שאין מי חטאת מטמאים אותו, ואף אם נגע במי חטאת או נשאם, הרי הוא טהור בין לחטאת ובין לשאר דברים - ואפילו היה עוסק במים שלא לצורך הזאה, כל שהוא ראוי להזאה אינו נטמא</w:t>
      </w:r>
      <w:r>
        <w:rPr>
          <w:rFonts w:ascii="David" w:hAnsi="David" w:cs="David"/>
          <w:color w:val="0000FF"/>
          <w:sz w:val="24"/>
          <w:szCs w:val="24"/>
          <w:vertAlign w:val="superscript"/>
          <w:rtl/>
        </w:rPr>
        <w:footnoteReference w:customMarkFollows="1" w:id="1210"/>
        <w:t>1210</w:t>
      </w:r>
      <w:r>
        <w:rPr>
          <w:rFonts w:ascii="David" w:hAnsi="David" w:cs="David"/>
          <w:color w:val="000000"/>
          <w:sz w:val="24"/>
          <w:szCs w:val="24"/>
          <w:rtl/>
        </w:rPr>
        <w:t xml:space="preserve"> - ואין המים מטמאים אלא את מי שגופו טמא לחטאת ואינו ראוי להזאה, ומטמאים אותו </w:t>
      </w:r>
    </w:p>
    <w:p w14:paraId="773622D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המים לענין שאר דברים</w:t>
      </w:r>
      <w:r>
        <w:rPr>
          <w:rFonts w:ascii="David" w:hAnsi="David" w:cs="David"/>
          <w:color w:val="0000FF"/>
          <w:sz w:val="24"/>
          <w:szCs w:val="24"/>
          <w:vertAlign w:val="superscript"/>
          <w:rtl/>
        </w:rPr>
        <w:footnoteReference w:customMarkFollows="1" w:id="1211"/>
        <w:t>1211</w:t>
      </w:r>
      <w:r>
        <w:rPr>
          <w:rFonts w:ascii="David" w:hAnsi="David" w:cs="David"/>
          <w:color w:val="000000"/>
          <w:sz w:val="24"/>
          <w:szCs w:val="24"/>
          <w:rtl/>
        </w:rPr>
        <w:t>, ומכל מקום אם אינו כשר להזאה מטעם אחר - על הפסולים להזאה, ע"ע הזאה (ב)</w:t>
      </w:r>
      <w:r>
        <w:rPr>
          <w:rFonts w:ascii="David" w:hAnsi="David" w:cs="David"/>
          <w:color w:val="0000FF"/>
          <w:sz w:val="24"/>
          <w:szCs w:val="24"/>
          <w:vertAlign w:val="superscript"/>
          <w:rtl/>
        </w:rPr>
        <w:footnoteReference w:customMarkFollows="1" w:id="1212"/>
        <w:t>1212</w:t>
      </w:r>
      <w:r>
        <w:rPr>
          <w:rFonts w:ascii="David" w:hAnsi="David" w:cs="David"/>
          <w:color w:val="000000"/>
          <w:sz w:val="24"/>
          <w:szCs w:val="24"/>
          <w:rtl/>
        </w:rPr>
        <w:t xml:space="preserve"> - אפילו הוא טהור לחטאת, המים מטמאים אותו</w:t>
      </w:r>
      <w:r>
        <w:rPr>
          <w:rFonts w:ascii="David" w:hAnsi="David" w:cs="David"/>
          <w:color w:val="0000FF"/>
          <w:sz w:val="24"/>
          <w:szCs w:val="24"/>
          <w:vertAlign w:val="superscript"/>
          <w:rtl/>
        </w:rPr>
        <w:footnoteReference w:customMarkFollows="1" w:id="1213"/>
        <w:t>1213</w:t>
      </w:r>
      <w:r>
        <w:rPr>
          <w:rFonts w:ascii="David" w:hAnsi="David" w:cs="David"/>
          <w:color w:val="000000"/>
          <w:sz w:val="24"/>
          <w:szCs w:val="24"/>
          <w:rtl/>
        </w:rPr>
        <w:t>, וכתבו אחרונים שכיון שהוא פסול להזאה, מקבל טומאת מי חטאת</w:t>
      </w:r>
      <w:r>
        <w:rPr>
          <w:rFonts w:ascii="David" w:hAnsi="David" w:cs="David"/>
          <w:color w:val="0000FF"/>
          <w:sz w:val="24"/>
          <w:szCs w:val="24"/>
          <w:vertAlign w:val="superscript"/>
          <w:rtl/>
        </w:rPr>
        <w:footnoteReference w:customMarkFollows="1" w:id="1214"/>
        <w:t>1214</w:t>
      </w:r>
      <w:r>
        <w:rPr>
          <w:rFonts w:ascii="David" w:hAnsi="David" w:cs="David"/>
          <w:color w:val="000000"/>
          <w:sz w:val="24"/>
          <w:szCs w:val="24"/>
          <w:rtl/>
        </w:rPr>
        <w:t>, ויש שכתבו שהטהור מן התורה, שהיה טמא לחטאת מדרבנן - שמן התורה אין טומאה לחטאת לחוד</w:t>
      </w:r>
      <w:r>
        <w:rPr>
          <w:rFonts w:ascii="David" w:hAnsi="David" w:cs="David"/>
          <w:color w:val="0000FF"/>
          <w:sz w:val="24"/>
          <w:szCs w:val="24"/>
          <w:vertAlign w:val="superscript"/>
          <w:rtl/>
        </w:rPr>
        <w:footnoteReference w:customMarkFollows="1" w:id="1215"/>
        <w:t>1215</w:t>
      </w:r>
      <w:r>
        <w:rPr>
          <w:rFonts w:ascii="David" w:hAnsi="David" w:cs="David"/>
          <w:color w:val="000000"/>
          <w:sz w:val="24"/>
          <w:szCs w:val="24"/>
          <w:rtl/>
        </w:rPr>
        <w:t xml:space="preserve"> - מקבל טומאת מי חטאת מן התורה, הואיל ומכל מקום אינו ראוי להזאה</w:t>
      </w:r>
      <w:r>
        <w:rPr>
          <w:rFonts w:ascii="David" w:hAnsi="David" w:cs="David"/>
          <w:color w:val="0000FF"/>
          <w:sz w:val="24"/>
          <w:szCs w:val="24"/>
          <w:vertAlign w:val="superscript"/>
          <w:rtl/>
        </w:rPr>
        <w:footnoteReference w:customMarkFollows="1" w:id="1216"/>
        <w:t>1216</w:t>
      </w:r>
      <w:r>
        <w:rPr>
          <w:rFonts w:ascii="David" w:hAnsi="David" w:cs="David"/>
          <w:color w:val="000000"/>
          <w:sz w:val="24"/>
          <w:szCs w:val="24"/>
          <w:rtl/>
        </w:rPr>
        <w:t>. ויש מן הראשונים חולקים וסוברים, שאף מי שגופו טהור לחטאת המים מטמאים אותו</w:t>
      </w:r>
      <w:r>
        <w:rPr>
          <w:rFonts w:ascii="David" w:hAnsi="David" w:cs="David"/>
          <w:color w:val="0000FF"/>
          <w:sz w:val="24"/>
          <w:szCs w:val="24"/>
          <w:vertAlign w:val="superscript"/>
          <w:rtl/>
        </w:rPr>
        <w:footnoteReference w:customMarkFollows="1" w:id="1217"/>
        <w:t>1217</w:t>
      </w:r>
      <w:r>
        <w:rPr>
          <w:rFonts w:ascii="David" w:hAnsi="David" w:cs="David"/>
          <w:color w:val="000000"/>
          <w:sz w:val="24"/>
          <w:szCs w:val="24"/>
          <w:rtl/>
        </w:rPr>
        <w:t>, ואף בדעת ראשונים שאמרו שאין מי חטאת מטמאים אלא את הטמא לחטאת בלבד</w:t>
      </w:r>
      <w:r>
        <w:rPr>
          <w:rFonts w:ascii="David" w:hAnsi="David" w:cs="David"/>
          <w:color w:val="0000FF"/>
          <w:sz w:val="24"/>
          <w:szCs w:val="24"/>
          <w:vertAlign w:val="superscript"/>
          <w:rtl/>
        </w:rPr>
        <w:footnoteReference w:customMarkFollows="1" w:id="1218"/>
        <w:t>1218</w:t>
      </w:r>
      <w:r>
        <w:rPr>
          <w:rFonts w:ascii="David" w:hAnsi="David" w:cs="David"/>
          <w:color w:val="000000"/>
          <w:sz w:val="24"/>
          <w:szCs w:val="24"/>
          <w:rtl/>
        </w:rPr>
        <w:t>, יש מן האחרונים שכתבו, שלא אמרו כן אלא בעוסק בהם לצורך הזאה, שלדעתם העוסק במי חטאת לצורך אינו נטמא</w:t>
      </w:r>
      <w:r>
        <w:rPr>
          <w:rFonts w:ascii="David" w:hAnsi="David" w:cs="David"/>
          <w:color w:val="0000FF"/>
          <w:sz w:val="24"/>
          <w:szCs w:val="24"/>
          <w:vertAlign w:val="superscript"/>
          <w:rtl/>
        </w:rPr>
        <w:footnoteReference w:customMarkFollows="1" w:id="1219"/>
        <w:t>1219</w:t>
      </w:r>
      <w:r>
        <w:rPr>
          <w:rFonts w:ascii="David" w:hAnsi="David" w:cs="David"/>
          <w:color w:val="000000"/>
          <w:sz w:val="24"/>
          <w:szCs w:val="24"/>
          <w:rtl/>
        </w:rPr>
        <w:t>, ולפיכך אם היה טהור אינו נטמא, ואם היה טמא ופסול להזאה, נמצא שהעסק בהם הוא שלא לצורך, והעוסק בהם שלא לצורך, אפילו גופו טהור המים מטמאים אותו</w:t>
      </w:r>
      <w:r>
        <w:rPr>
          <w:rFonts w:ascii="David" w:hAnsi="David" w:cs="David"/>
          <w:color w:val="0000FF"/>
          <w:sz w:val="24"/>
          <w:szCs w:val="24"/>
          <w:vertAlign w:val="superscript"/>
          <w:rtl/>
        </w:rPr>
        <w:footnoteReference w:customMarkFollows="1" w:id="1220"/>
        <w:t>1220</w:t>
      </w:r>
      <w:r>
        <w:rPr>
          <w:rFonts w:ascii="David" w:hAnsi="David" w:cs="David"/>
          <w:color w:val="000000"/>
          <w:sz w:val="24"/>
          <w:szCs w:val="24"/>
          <w:rtl/>
        </w:rPr>
        <w:t>, על מחלוקת הראשונים לדעה זו, אם מי חטאת מטמאים את הטהור לענין שאר דברים בלבד, או אף לענין חטאת, עי' לעיל</w:t>
      </w:r>
      <w:r>
        <w:rPr>
          <w:rFonts w:ascii="David" w:hAnsi="David" w:cs="David"/>
          <w:color w:val="0000FF"/>
          <w:sz w:val="24"/>
          <w:szCs w:val="24"/>
          <w:vertAlign w:val="superscript"/>
          <w:rtl/>
        </w:rPr>
        <w:footnoteReference w:customMarkFollows="1" w:id="1221"/>
        <w:t>1221</w:t>
      </w:r>
      <w:r>
        <w:rPr>
          <w:rFonts w:ascii="David" w:hAnsi="David" w:cs="David"/>
          <w:color w:val="000000"/>
          <w:sz w:val="24"/>
          <w:szCs w:val="24"/>
          <w:rtl/>
        </w:rPr>
        <w:t>. ואף לדעה זו, גם אם אינו כשר להזאה, המים מטמאים אותו, ואף על פי שאיני קורא בו את הכתוב: ומזה מי הנדה יטמא</w:t>
      </w:r>
      <w:r>
        <w:rPr>
          <w:rFonts w:ascii="David" w:hAnsi="David" w:cs="David"/>
          <w:color w:val="0000FF"/>
          <w:sz w:val="24"/>
          <w:szCs w:val="24"/>
          <w:vertAlign w:val="superscript"/>
          <w:rtl/>
        </w:rPr>
        <w:footnoteReference w:customMarkFollows="1" w:id="1222"/>
        <w:t>1222</w:t>
      </w:r>
      <w:r>
        <w:rPr>
          <w:rFonts w:ascii="David" w:hAnsi="David" w:cs="David"/>
          <w:color w:val="000000"/>
          <w:sz w:val="24"/>
          <w:szCs w:val="24"/>
          <w:rtl/>
        </w:rPr>
        <w:t>, לפי שאינו ראוי להזאה, טמא הוא מקל וחומר מהכשרים להזאה שהמים מטמאים אותם</w:t>
      </w:r>
      <w:r>
        <w:rPr>
          <w:rFonts w:ascii="David" w:hAnsi="David" w:cs="David"/>
          <w:color w:val="0000FF"/>
          <w:sz w:val="24"/>
          <w:szCs w:val="24"/>
          <w:vertAlign w:val="superscript"/>
          <w:rtl/>
        </w:rPr>
        <w:footnoteReference w:customMarkFollows="1" w:id="1223"/>
        <w:t>1223</w:t>
      </w:r>
      <w:r>
        <w:rPr>
          <w:rFonts w:ascii="David" w:hAnsi="David" w:cs="David"/>
          <w:color w:val="000000"/>
          <w:sz w:val="24"/>
          <w:szCs w:val="24"/>
          <w:rtl/>
        </w:rPr>
        <w:t>, ויש שפירשו שזהו ששנינו בספרי: קל וחומר הוא, אם כשרים מטמאים קל וחומר לפסולים</w:t>
      </w:r>
      <w:r>
        <w:rPr>
          <w:rFonts w:ascii="David" w:hAnsi="David" w:cs="David"/>
          <w:color w:val="0000FF"/>
          <w:sz w:val="24"/>
          <w:szCs w:val="24"/>
          <w:vertAlign w:val="superscript"/>
          <w:rtl/>
        </w:rPr>
        <w:footnoteReference w:customMarkFollows="1" w:id="1224"/>
        <w:t>1224</w:t>
      </w:r>
      <w:r>
        <w:rPr>
          <w:rFonts w:ascii="David" w:hAnsi="David" w:cs="David"/>
          <w:color w:val="000000"/>
          <w:sz w:val="24"/>
          <w:szCs w:val="24"/>
          <w:rtl/>
        </w:rPr>
        <w:t xml:space="preserve">. על </w:t>
      </w:r>
    </w:p>
    <w:p w14:paraId="72E4AA2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הסוברים שאין דברי הספרי אמורים על אדם פסול אלא על מים פסולים, עי' להלן</w:t>
      </w:r>
      <w:r>
        <w:rPr>
          <w:rFonts w:ascii="David" w:hAnsi="David" w:cs="David"/>
          <w:color w:val="0000FF"/>
          <w:sz w:val="24"/>
          <w:szCs w:val="24"/>
          <w:vertAlign w:val="superscript"/>
          <w:rtl/>
        </w:rPr>
        <w:footnoteReference w:customMarkFollows="1" w:id="1225"/>
        <w:t>1225</w:t>
      </w:r>
      <w:r>
        <w:rPr>
          <w:rFonts w:ascii="David" w:hAnsi="David" w:cs="David"/>
          <w:color w:val="000000"/>
          <w:sz w:val="24"/>
          <w:szCs w:val="24"/>
          <w:rtl/>
        </w:rPr>
        <w:t xml:space="preserve">. </w:t>
      </w:r>
    </w:p>
    <w:p w14:paraId="4960EF7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[על ידי השקה]</w:t>
      </w:r>
    </w:p>
    <w:p w14:paraId="26D06D5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השיק מי חטאת למקוה*, יש מן הראשונים שכתבו שיש להם טהרה על ידי השקה*, ופקעה טומאתם</w:t>
      </w:r>
      <w:r>
        <w:rPr>
          <w:rFonts w:ascii="David" w:hAnsi="David" w:cs="David"/>
          <w:color w:val="0000FF"/>
          <w:sz w:val="24"/>
          <w:szCs w:val="24"/>
          <w:vertAlign w:val="superscript"/>
          <w:rtl/>
        </w:rPr>
        <w:footnoteReference w:customMarkFollows="1" w:id="1226"/>
        <w:t>1226</w:t>
      </w:r>
      <w:r>
        <w:rPr>
          <w:rFonts w:ascii="David" w:hAnsi="David" w:cs="David"/>
          <w:color w:val="000000"/>
          <w:sz w:val="24"/>
          <w:szCs w:val="24"/>
          <w:rtl/>
        </w:rPr>
        <w:t>. ויש מן האחרונים שכתבו שאין ההשקה מועילה להפקיע טומאת עצמם, שלדעתם מי חטאת אין בעצמם שום טומאה, וגזירת הכתוב היא שיטמאו את הנוגע בהם</w:t>
      </w:r>
      <w:r>
        <w:rPr>
          <w:rFonts w:ascii="David" w:hAnsi="David" w:cs="David"/>
          <w:color w:val="0000FF"/>
          <w:sz w:val="24"/>
          <w:szCs w:val="24"/>
          <w:vertAlign w:val="superscript"/>
          <w:rtl/>
        </w:rPr>
        <w:footnoteReference w:customMarkFollows="1" w:id="1227"/>
        <w:t>1227</w:t>
      </w:r>
      <w:r>
        <w:rPr>
          <w:rFonts w:ascii="David" w:hAnsi="David" w:cs="David"/>
          <w:color w:val="000000"/>
          <w:sz w:val="24"/>
          <w:szCs w:val="24"/>
          <w:rtl/>
        </w:rPr>
        <w:t>, ואף אחר ההשקה הנוגע בהם, נוגע במי חטאת</w:t>
      </w:r>
      <w:r>
        <w:rPr>
          <w:rFonts w:ascii="David" w:hAnsi="David" w:cs="David"/>
          <w:color w:val="0000FF"/>
          <w:sz w:val="24"/>
          <w:szCs w:val="24"/>
          <w:vertAlign w:val="superscript"/>
          <w:rtl/>
        </w:rPr>
        <w:footnoteReference w:customMarkFollows="1" w:id="1228"/>
        <w:t>1228</w:t>
      </w:r>
      <w:r>
        <w:rPr>
          <w:rFonts w:ascii="David" w:hAnsi="David" w:cs="David"/>
          <w:color w:val="000000"/>
          <w:sz w:val="24"/>
          <w:szCs w:val="24"/>
          <w:rtl/>
        </w:rPr>
        <w:t>. על כך שלדעתם כשהשיקם טהרו מטעם אחר, עי' להלן</w:t>
      </w:r>
      <w:r>
        <w:rPr>
          <w:rFonts w:ascii="David" w:hAnsi="David" w:cs="David"/>
          <w:color w:val="0000FF"/>
          <w:sz w:val="24"/>
          <w:szCs w:val="24"/>
          <w:vertAlign w:val="superscript"/>
          <w:rtl/>
        </w:rPr>
        <w:footnoteReference w:customMarkFollows="1" w:id="1229"/>
        <w:t>1229</w:t>
      </w:r>
      <w:r>
        <w:rPr>
          <w:rFonts w:ascii="David" w:hAnsi="David" w:cs="David"/>
          <w:color w:val="000000"/>
          <w:sz w:val="24"/>
          <w:szCs w:val="24"/>
          <w:rtl/>
        </w:rPr>
        <w:t xml:space="preserve">. </w:t>
      </w:r>
    </w:p>
    <w:p w14:paraId="24FFA82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[טומאתם כשנפסלו]</w:t>
      </w:r>
    </w:p>
    <w:p w14:paraId="7EE1C7A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ז. כשנפסלו.</w:t>
      </w:r>
      <w:r>
        <w:rPr>
          <w:rFonts w:ascii="David" w:hAnsi="David" w:cs="David"/>
          <w:color w:val="000000"/>
          <w:sz w:val="24"/>
          <w:szCs w:val="24"/>
          <w:rtl/>
        </w:rPr>
        <w:t xml:space="preserve"> מי חטאת, אף על פי שנפסלו להזאה* - על הדברים הפוסלים את המים, עי' לעיל: המים; פסולם על ידי תערובת; פסולם מחמת טומאה - מטמאים</w:t>
      </w:r>
      <w:r>
        <w:rPr>
          <w:rFonts w:ascii="David" w:hAnsi="David" w:cs="David"/>
          <w:color w:val="0000FF"/>
          <w:sz w:val="24"/>
          <w:szCs w:val="24"/>
          <w:vertAlign w:val="superscript"/>
          <w:rtl/>
        </w:rPr>
        <w:footnoteReference w:customMarkFollows="1" w:id="1230"/>
        <w:t>1230</w:t>
      </w:r>
      <w:r>
        <w:rPr>
          <w:rFonts w:ascii="David" w:hAnsi="David" w:cs="David"/>
          <w:color w:val="000000"/>
          <w:sz w:val="24"/>
          <w:szCs w:val="24"/>
          <w:rtl/>
        </w:rPr>
        <w:t>, ולכך אמרו חכמים, שאף כשנפסלו לא יגבלם בטיט, שלא יעשם תקלה לאחרים</w:t>
      </w:r>
      <w:r>
        <w:rPr>
          <w:rFonts w:ascii="David" w:hAnsi="David" w:cs="David"/>
          <w:color w:val="0000FF"/>
          <w:sz w:val="24"/>
          <w:szCs w:val="24"/>
          <w:vertAlign w:val="superscript"/>
          <w:rtl/>
        </w:rPr>
        <w:footnoteReference w:customMarkFollows="1" w:id="1231"/>
        <w:t>1231</w:t>
      </w:r>
      <w:r>
        <w:rPr>
          <w:rFonts w:ascii="David" w:hAnsi="David" w:cs="David"/>
          <w:color w:val="000000"/>
          <w:sz w:val="24"/>
          <w:szCs w:val="24"/>
          <w:rtl/>
        </w:rPr>
        <w:t>, שהרי יש בכך מכשול למי שיגע באותו הטיט ואינו יודע ויטמא</w:t>
      </w:r>
      <w:r>
        <w:rPr>
          <w:rFonts w:ascii="David" w:hAnsi="David" w:cs="David"/>
          <w:color w:val="0000FF"/>
          <w:sz w:val="24"/>
          <w:szCs w:val="24"/>
          <w:vertAlign w:val="superscript"/>
          <w:rtl/>
        </w:rPr>
        <w:footnoteReference w:customMarkFollows="1" w:id="1232"/>
        <w:t>1232</w:t>
      </w:r>
      <w:r>
        <w:rPr>
          <w:rFonts w:ascii="David" w:hAnsi="David" w:cs="David"/>
          <w:color w:val="000000"/>
          <w:sz w:val="24"/>
          <w:szCs w:val="24"/>
          <w:rtl/>
        </w:rPr>
        <w:t>, במי חטאת שבו</w:t>
      </w:r>
      <w:r>
        <w:rPr>
          <w:rFonts w:ascii="David" w:hAnsi="David" w:cs="David"/>
          <w:color w:val="0000FF"/>
          <w:sz w:val="24"/>
          <w:szCs w:val="24"/>
          <w:vertAlign w:val="superscript"/>
          <w:rtl/>
        </w:rPr>
        <w:footnoteReference w:customMarkFollows="1" w:id="1233"/>
        <w:t>1233</w:t>
      </w:r>
      <w:r>
        <w:rPr>
          <w:rFonts w:ascii="David" w:hAnsi="David" w:cs="David"/>
          <w:color w:val="000000"/>
          <w:sz w:val="24"/>
          <w:szCs w:val="24"/>
          <w:rtl/>
        </w:rPr>
        <w:t>, על דעת ר' יהודה שמאחר שגיבלם בטיט בטלו ואינם מטמאים כלל, עי' להלן</w:t>
      </w:r>
      <w:r>
        <w:rPr>
          <w:rFonts w:ascii="David" w:hAnsi="David" w:cs="David"/>
          <w:color w:val="0000FF"/>
          <w:sz w:val="24"/>
          <w:szCs w:val="24"/>
          <w:vertAlign w:val="superscript"/>
          <w:rtl/>
        </w:rPr>
        <w:footnoteReference w:customMarkFollows="1" w:id="1234"/>
        <w:t>1234</w:t>
      </w:r>
      <w:r>
        <w:rPr>
          <w:rFonts w:ascii="David" w:hAnsi="David" w:cs="David"/>
          <w:color w:val="000000"/>
          <w:sz w:val="24"/>
          <w:szCs w:val="24"/>
          <w:rtl/>
        </w:rPr>
        <w:t>. על אופנים שונים שיש סוברים שמי חטאת שנפסלו אינם מטמאים, עי' להלן</w:t>
      </w:r>
      <w:r>
        <w:rPr>
          <w:rFonts w:ascii="David" w:hAnsi="David" w:cs="David"/>
          <w:color w:val="0000FF"/>
          <w:sz w:val="24"/>
          <w:szCs w:val="24"/>
          <w:vertAlign w:val="superscript"/>
          <w:rtl/>
        </w:rPr>
        <w:footnoteReference w:customMarkFollows="1" w:id="1235"/>
        <w:t>1235</w:t>
      </w:r>
      <w:r>
        <w:rPr>
          <w:rFonts w:ascii="David" w:hAnsi="David" w:cs="David"/>
          <w:color w:val="000000"/>
          <w:sz w:val="24"/>
          <w:szCs w:val="24"/>
          <w:rtl/>
        </w:rPr>
        <w:t>. על כך שמים פסולים, כשאינם מטמאים טומאה חמורה, מטמאים טומאת משקים, עי' להלן</w:t>
      </w:r>
      <w:r>
        <w:rPr>
          <w:rFonts w:ascii="David" w:hAnsi="David" w:cs="David"/>
          <w:color w:val="0000FF"/>
          <w:sz w:val="24"/>
          <w:szCs w:val="24"/>
          <w:vertAlign w:val="superscript"/>
          <w:rtl/>
        </w:rPr>
        <w:footnoteReference w:customMarkFollows="1" w:id="1236"/>
        <w:t>1236</w:t>
      </w:r>
      <w:r>
        <w:rPr>
          <w:rFonts w:ascii="David" w:hAnsi="David" w:cs="David"/>
          <w:color w:val="000000"/>
          <w:sz w:val="24"/>
          <w:szCs w:val="24"/>
          <w:rtl/>
        </w:rPr>
        <w:t xml:space="preserve">. </w:t>
      </w:r>
    </w:p>
    <w:p w14:paraId="36B692A4"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[מקור טומאתם]</w:t>
      </w:r>
    </w:p>
    <w:p w14:paraId="1524600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שנפסלו, נחלקו בטומאתם: יש מן האחרונים שכתבו בדעת ראשונים שמי חטאת שנפסלו טומאתם מן התורה</w:t>
      </w:r>
      <w:r>
        <w:rPr>
          <w:rFonts w:ascii="David" w:hAnsi="David" w:cs="David"/>
          <w:color w:val="0000FF"/>
          <w:sz w:val="24"/>
          <w:szCs w:val="24"/>
          <w:vertAlign w:val="superscript"/>
          <w:rtl/>
        </w:rPr>
        <w:footnoteReference w:customMarkFollows="1" w:id="1237"/>
        <w:t>1237</w:t>
      </w:r>
      <w:r>
        <w:rPr>
          <w:rFonts w:ascii="David" w:hAnsi="David" w:cs="David"/>
          <w:color w:val="000000"/>
          <w:sz w:val="24"/>
          <w:szCs w:val="24"/>
          <w:rtl/>
        </w:rPr>
        <w:t>, ומהם שפירשו כן אותה ששנו בספרי: אם כשרים מטמאים קל וחומר לפסולים</w:t>
      </w:r>
      <w:r>
        <w:rPr>
          <w:rFonts w:ascii="David" w:hAnsi="David" w:cs="David"/>
          <w:color w:val="0000FF"/>
          <w:sz w:val="24"/>
          <w:szCs w:val="24"/>
          <w:vertAlign w:val="superscript"/>
          <w:rtl/>
        </w:rPr>
        <w:footnoteReference w:customMarkFollows="1" w:id="1238"/>
        <w:t>1238</w:t>
      </w:r>
      <w:r>
        <w:rPr>
          <w:rFonts w:ascii="David" w:hAnsi="David" w:cs="David"/>
          <w:color w:val="000000"/>
          <w:sz w:val="24"/>
          <w:szCs w:val="24"/>
          <w:rtl/>
        </w:rPr>
        <w:t>, שטומאת מים פסולים מן התורה היא</w:t>
      </w:r>
      <w:r>
        <w:rPr>
          <w:rFonts w:ascii="David" w:hAnsi="David" w:cs="David"/>
          <w:color w:val="0000FF"/>
          <w:sz w:val="24"/>
          <w:szCs w:val="24"/>
          <w:vertAlign w:val="superscript"/>
          <w:rtl/>
        </w:rPr>
        <w:footnoteReference w:customMarkFollows="1" w:id="1239"/>
        <w:t>1239</w:t>
      </w:r>
      <w:r>
        <w:rPr>
          <w:rFonts w:ascii="David" w:hAnsi="David" w:cs="David"/>
          <w:color w:val="000000"/>
          <w:sz w:val="24"/>
          <w:szCs w:val="24"/>
          <w:rtl/>
        </w:rPr>
        <w:t xml:space="preserve">. ויש מן הראשונים והאחרונים שכתבו שמן התורה </w:t>
      </w:r>
    </w:p>
    <w:p w14:paraId="2F853DE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פרחה מהם טומאתם החמורה</w:t>
      </w:r>
      <w:r>
        <w:rPr>
          <w:rFonts w:ascii="David" w:hAnsi="David" w:cs="David"/>
          <w:color w:val="0000FF"/>
          <w:sz w:val="24"/>
          <w:szCs w:val="24"/>
          <w:vertAlign w:val="superscript"/>
          <w:rtl/>
        </w:rPr>
        <w:footnoteReference w:customMarkFollows="1" w:id="1240"/>
        <w:t>1240</w:t>
      </w:r>
      <w:r>
        <w:rPr>
          <w:rFonts w:ascii="David" w:hAnsi="David" w:cs="David"/>
          <w:color w:val="000000"/>
          <w:sz w:val="24"/>
          <w:szCs w:val="24"/>
          <w:rtl/>
        </w:rPr>
        <w:t>, שמשנפסלו להזאה שוב אינם קרואים מי חטאת</w:t>
      </w:r>
      <w:r>
        <w:rPr>
          <w:rFonts w:ascii="David" w:hAnsi="David" w:cs="David"/>
          <w:color w:val="0000FF"/>
          <w:sz w:val="24"/>
          <w:szCs w:val="24"/>
          <w:vertAlign w:val="superscript"/>
          <w:rtl/>
        </w:rPr>
        <w:footnoteReference w:customMarkFollows="1" w:id="1241"/>
        <w:t>1241</w:t>
      </w:r>
      <w:r>
        <w:rPr>
          <w:rFonts w:ascii="David" w:hAnsi="David" w:cs="David"/>
          <w:color w:val="000000"/>
          <w:sz w:val="24"/>
          <w:szCs w:val="24"/>
          <w:rtl/>
        </w:rPr>
        <w:t>, ואותה ששנינו בספרי: קל וחומר הוא, אם כשרים מטמאים קל וחומר לפסולים, פירשו אחרונים שאינה אלא אסמכתא, לומר שהואיל וקל וחומר הוא בדעתם של בני אדם שיהיו הפסולים מטמאים, גזרו חכמים שיהיו מטמאים</w:t>
      </w:r>
      <w:r>
        <w:rPr>
          <w:rFonts w:ascii="David" w:hAnsi="David" w:cs="David"/>
          <w:color w:val="0000FF"/>
          <w:sz w:val="24"/>
          <w:szCs w:val="24"/>
          <w:vertAlign w:val="superscript"/>
          <w:rtl/>
        </w:rPr>
        <w:footnoteReference w:customMarkFollows="1" w:id="1242"/>
        <w:t>1242</w:t>
      </w:r>
      <w:r>
        <w:rPr>
          <w:rFonts w:ascii="David" w:hAnsi="David" w:cs="David"/>
          <w:color w:val="000000"/>
          <w:sz w:val="24"/>
          <w:szCs w:val="24"/>
          <w:rtl/>
        </w:rPr>
        <w:t>, על הסוברים שאין דברי הספרי אמורים על מים פסולים אלא על אדם פסול, עי' לעיל</w:t>
      </w:r>
      <w:r>
        <w:rPr>
          <w:rFonts w:ascii="David" w:hAnsi="David" w:cs="David"/>
          <w:color w:val="0000FF"/>
          <w:sz w:val="24"/>
          <w:szCs w:val="24"/>
          <w:vertAlign w:val="superscript"/>
          <w:rtl/>
        </w:rPr>
        <w:footnoteReference w:customMarkFollows="1" w:id="1243"/>
        <w:t>1243</w:t>
      </w:r>
      <w:r>
        <w:rPr>
          <w:rFonts w:ascii="David" w:hAnsi="David" w:cs="David"/>
          <w:color w:val="000000"/>
          <w:sz w:val="24"/>
          <w:szCs w:val="24"/>
          <w:rtl/>
        </w:rPr>
        <w:t>. וכן נראה מדברי ראשונים, שפרה ששתתה מי חטאת, שאין המים מטמאים טומאה חמורה</w:t>
      </w:r>
      <w:r>
        <w:rPr>
          <w:rFonts w:ascii="David" w:hAnsi="David" w:cs="David"/>
          <w:color w:val="0000FF"/>
          <w:sz w:val="24"/>
          <w:szCs w:val="24"/>
          <w:vertAlign w:val="superscript"/>
          <w:rtl/>
        </w:rPr>
        <w:footnoteReference w:customMarkFollows="1" w:id="1244"/>
        <w:t>1244</w:t>
      </w:r>
      <w:r>
        <w:rPr>
          <w:rFonts w:ascii="David" w:hAnsi="David" w:cs="David"/>
          <w:color w:val="000000"/>
          <w:sz w:val="24"/>
          <w:szCs w:val="24"/>
          <w:rtl/>
        </w:rPr>
        <w:t>, היינו משום שנפסלו בהסח-הדעת*</w:t>
      </w:r>
      <w:r>
        <w:rPr>
          <w:rFonts w:ascii="David" w:hAnsi="David" w:cs="David"/>
          <w:color w:val="0000FF"/>
          <w:sz w:val="24"/>
          <w:szCs w:val="24"/>
          <w:vertAlign w:val="superscript"/>
          <w:rtl/>
        </w:rPr>
        <w:footnoteReference w:customMarkFollows="1" w:id="1245"/>
        <w:t>1245</w:t>
      </w:r>
      <w:r>
        <w:rPr>
          <w:rFonts w:ascii="David" w:hAnsi="David" w:cs="David"/>
          <w:color w:val="000000"/>
          <w:sz w:val="24"/>
          <w:szCs w:val="24"/>
          <w:rtl/>
        </w:rPr>
        <w:t>. ומכל מקום גזרו חכמים טומאה אף במים שנפסלו</w:t>
      </w:r>
      <w:r>
        <w:rPr>
          <w:rFonts w:ascii="David" w:hAnsi="David" w:cs="David"/>
          <w:color w:val="0000FF"/>
          <w:sz w:val="24"/>
          <w:szCs w:val="24"/>
          <w:vertAlign w:val="superscript"/>
          <w:rtl/>
        </w:rPr>
        <w:footnoteReference w:customMarkFollows="1" w:id="1246"/>
        <w:t>1246</w:t>
      </w:r>
      <w:r>
        <w:rPr>
          <w:rFonts w:ascii="David" w:hAnsi="David" w:cs="David"/>
          <w:color w:val="000000"/>
          <w:sz w:val="24"/>
          <w:szCs w:val="24"/>
          <w:rtl/>
        </w:rPr>
        <w:t>, שלא יאמרו שמי חטאת אינם מטמאים</w:t>
      </w:r>
      <w:r>
        <w:rPr>
          <w:rFonts w:ascii="David" w:hAnsi="David" w:cs="David"/>
          <w:color w:val="0000FF"/>
          <w:sz w:val="24"/>
          <w:szCs w:val="24"/>
          <w:vertAlign w:val="superscript"/>
          <w:rtl/>
        </w:rPr>
        <w:footnoteReference w:customMarkFollows="1" w:id="1247"/>
        <w:t>1247</w:t>
      </w:r>
      <w:r>
        <w:rPr>
          <w:rFonts w:ascii="David" w:hAnsi="David" w:cs="David"/>
          <w:color w:val="000000"/>
          <w:sz w:val="24"/>
          <w:szCs w:val="24"/>
          <w:rtl/>
        </w:rPr>
        <w:t xml:space="preserve">. </w:t>
      </w:r>
    </w:p>
    <w:p w14:paraId="25A4410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[בפסולים שונים]</w:t>
      </w:r>
    </w:p>
    <w:p w14:paraId="295E696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בכמה פסולים במים דנו אם גזרו חכמים טומאה בהם: מי חטאת הפסולים להזאה מפני שנטמאו, לסוברים שהם נפסלים בכך</w:t>
      </w:r>
      <w:r>
        <w:rPr>
          <w:rFonts w:ascii="David" w:hAnsi="David" w:cs="David"/>
          <w:color w:val="0000FF"/>
          <w:sz w:val="24"/>
          <w:szCs w:val="24"/>
          <w:vertAlign w:val="superscript"/>
          <w:rtl/>
        </w:rPr>
        <w:footnoteReference w:customMarkFollows="1" w:id="1248"/>
        <w:t>1248</w:t>
      </w:r>
      <w:r>
        <w:rPr>
          <w:rFonts w:ascii="David" w:hAnsi="David" w:cs="David"/>
          <w:color w:val="000000"/>
          <w:sz w:val="24"/>
          <w:szCs w:val="24"/>
          <w:rtl/>
        </w:rPr>
        <w:t>, אף בהם גזרו חכמים טומאה כבכל מי חטאת פסולים</w:t>
      </w:r>
      <w:r>
        <w:rPr>
          <w:rFonts w:ascii="David" w:hAnsi="David" w:cs="David"/>
          <w:color w:val="0000FF"/>
          <w:sz w:val="24"/>
          <w:szCs w:val="24"/>
          <w:vertAlign w:val="superscript"/>
          <w:rtl/>
        </w:rPr>
        <w:footnoteReference w:customMarkFollows="1" w:id="1249"/>
        <w:t>1249</w:t>
      </w:r>
      <w:r>
        <w:rPr>
          <w:rFonts w:ascii="David" w:hAnsi="David" w:cs="David"/>
          <w:color w:val="000000"/>
          <w:sz w:val="24"/>
          <w:szCs w:val="24"/>
          <w:rtl/>
        </w:rPr>
        <w:t>, ובדעת ר' יוחנן בן נורי בתוספתא כתבו אחרונים, שמים שפסולם מחמת טומאה, לא גזרו בהם טומאת מי חטאת</w:t>
      </w:r>
      <w:r>
        <w:rPr>
          <w:rFonts w:ascii="David" w:hAnsi="David" w:cs="David"/>
          <w:color w:val="0000FF"/>
          <w:sz w:val="24"/>
          <w:szCs w:val="24"/>
          <w:vertAlign w:val="superscript"/>
          <w:rtl/>
        </w:rPr>
        <w:footnoteReference w:customMarkFollows="1" w:id="1250"/>
        <w:t>1250</w:t>
      </w:r>
      <w:r>
        <w:rPr>
          <w:rFonts w:ascii="David" w:hAnsi="David" w:cs="David"/>
          <w:color w:val="000000"/>
          <w:sz w:val="24"/>
          <w:szCs w:val="24"/>
          <w:rtl/>
        </w:rPr>
        <w:t>. אבל בפרה ששתתה מי חטאת, לא גזרו חכמים טומאה חמורה במים</w:t>
      </w:r>
      <w:r>
        <w:rPr>
          <w:rFonts w:ascii="David" w:hAnsi="David" w:cs="David"/>
          <w:color w:val="0000FF"/>
          <w:sz w:val="24"/>
          <w:szCs w:val="24"/>
          <w:vertAlign w:val="superscript"/>
          <w:rtl/>
        </w:rPr>
        <w:footnoteReference w:customMarkFollows="1" w:id="1251"/>
        <w:t>1251</w:t>
      </w:r>
      <w:r>
        <w:rPr>
          <w:rFonts w:ascii="David" w:hAnsi="David" w:cs="David"/>
          <w:color w:val="000000"/>
          <w:sz w:val="24"/>
          <w:szCs w:val="24"/>
          <w:rtl/>
        </w:rPr>
        <w:t xml:space="preserve"> - אף לסוברים שהטעם שאינם מטמאים טומאה חמורה הוא משום היסח הדעת</w:t>
      </w:r>
      <w:r>
        <w:rPr>
          <w:rFonts w:ascii="David" w:hAnsi="David" w:cs="David"/>
          <w:color w:val="0000FF"/>
          <w:sz w:val="24"/>
          <w:szCs w:val="24"/>
          <w:vertAlign w:val="superscript"/>
          <w:rtl/>
        </w:rPr>
        <w:footnoteReference w:customMarkFollows="1" w:id="1252"/>
        <w:t>1252</w:t>
      </w:r>
      <w:r>
        <w:rPr>
          <w:rFonts w:ascii="David" w:hAnsi="David" w:cs="David"/>
          <w:color w:val="000000"/>
          <w:sz w:val="24"/>
          <w:szCs w:val="24"/>
          <w:rtl/>
        </w:rPr>
        <w:t xml:space="preserve"> - הואיל והמים שבמעיה הולכים לאיבוד</w:t>
      </w:r>
      <w:r>
        <w:rPr>
          <w:rFonts w:ascii="David" w:hAnsi="David" w:cs="David"/>
          <w:color w:val="0000FF"/>
          <w:sz w:val="24"/>
          <w:szCs w:val="24"/>
          <w:vertAlign w:val="superscript"/>
          <w:rtl/>
        </w:rPr>
        <w:footnoteReference w:customMarkFollows="1" w:id="1253"/>
        <w:t>1253</w:t>
      </w:r>
      <w:r>
        <w:rPr>
          <w:rFonts w:ascii="David" w:hAnsi="David" w:cs="David"/>
          <w:color w:val="000000"/>
          <w:sz w:val="24"/>
          <w:szCs w:val="24"/>
          <w:rtl/>
        </w:rPr>
        <w:t>, או משום שאינו שכיח, ולא גזרו חכמים בדבר שאינו שכיח</w:t>
      </w:r>
      <w:r>
        <w:rPr>
          <w:rFonts w:ascii="David" w:hAnsi="David" w:cs="David"/>
          <w:color w:val="0000FF"/>
          <w:sz w:val="24"/>
          <w:szCs w:val="24"/>
          <w:vertAlign w:val="superscript"/>
          <w:rtl/>
        </w:rPr>
        <w:footnoteReference w:customMarkFollows="1" w:id="1254"/>
        <w:t>1254</w:t>
      </w:r>
      <w:r>
        <w:rPr>
          <w:rFonts w:ascii="David" w:hAnsi="David" w:cs="David"/>
          <w:color w:val="000000"/>
          <w:sz w:val="24"/>
          <w:szCs w:val="24"/>
          <w:rtl/>
        </w:rPr>
        <w:t>, או משום שבמעיה הם אבודים לגמרי, ואין עליהם שם מי חטאת</w:t>
      </w:r>
      <w:r>
        <w:rPr>
          <w:rFonts w:ascii="David" w:hAnsi="David" w:cs="David"/>
          <w:color w:val="0000FF"/>
          <w:sz w:val="24"/>
          <w:szCs w:val="24"/>
          <w:vertAlign w:val="superscript"/>
          <w:rtl/>
        </w:rPr>
        <w:footnoteReference w:customMarkFollows="1" w:id="1255"/>
        <w:t>1255</w:t>
      </w:r>
      <w:r>
        <w:rPr>
          <w:rFonts w:ascii="David" w:hAnsi="David" w:cs="David"/>
          <w:color w:val="000000"/>
          <w:sz w:val="24"/>
          <w:szCs w:val="24"/>
          <w:rtl/>
        </w:rPr>
        <w:t>. וכן מים שנעשתה מצותם ואין ראויים להזאה, לא גזרו בהם חכמים טומאה</w:t>
      </w:r>
      <w:r>
        <w:rPr>
          <w:rFonts w:ascii="David" w:hAnsi="David" w:cs="David"/>
          <w:color w:val="0000FF"/>
          <w:sz w:val="24"/>
          <w:szCs w:val="24"/>
          <w:vertAlign w:val="superscript"/>
          <w:rtl/>
        </w:rPr>
        <w:footnoteReference w:customMarkFollows="1" w:id="1256"/>
        <w:t>1256</w:t>
      </w:r>
      <w:r>
        <w:rPr>
          <w:rFonts w:ascii="David" w:hAnsi="David" w:cs="David"/>
          <w:color w:val="000000"/>
          <w:sz w:val="24"/>
          <w:szCs w:val="24"/>
          <w:rtl/>
        </w:rPr>
        <w:t>, לפי שהכל רואים שכבר נעשתה בהם הזאה</w:t>
      </w:r>
      <w:r>
        <w:rPr>
          <w:rFonts w:ascii="David" w:hAnsi="David" w:cs="David"/>
          <w:color w:val="0000FF"/>
          <w:sz w:val="24"/>
          <w:szCs w:val="24"/>
          <w:vertAlign w:val="superscript"/>
          <w:rtl/>
        </w:rPr>
        <w:footnoteReference w:customMarkFollows="1" w:id="1257"/>
        <w:t>1257</w:t>
      </w:r>
      <w:r>
        <w:rPr>
          <w:rFonts w:ascii="David" w:hAnsi="David" w:cs="David"/>
          <w:color w:val="000000"/>
          <w:sz w:val="24"/>
          <w:szCs w:val="24"/>
          <w:rtl/>
        </w:rPr>
        <w:t>. ובמים שטבל והיזה מהם על מי שאינו מקבל טומאה, באופן שנפסלו בכך</w:t>
      </w:r>
      <w:r>
        <w:rPr>
          <w:rFonts w:ascii="David" w:hAnsi="David" w:cs="David"/>
          <w:color w:val="0000FF"/>
          <w:sz w:val="24"/>
          <w:szCs w:val="24"/>
          <w:vertAlign w:val="superscript"/>
          <w:rtl/>
        </w:rPr>
        <w:footnoteReference w:customMarkFollows="1" w:id="1258"/>
        <w:t>1258</w:t>
      </w:r>
      <w:r>
        <w:rPr>
          <w:rFonts w:ascii="David" w:hAnsi="David" w:cs="David"/>
          <w:color w:val="000000"/>
          <w:sz w:val="24"/>
          <w:szCs w:val="24"/>
          <w:rtl/>
        </w:rPr>
        <w:t xml:space="preserve">, יש </w:t>
      </w:r>
    </w:p>
    <w:p w14:paraId="25FF5EE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שכתבו שאינם מטמאים</w:t>
      </w:r>
      <w:r>
        <w:rPr>
          <w:rFonts w:ascii="David" w:hAnsi="David" w:cs="David"/>
          <w:color w:val="0000FF"/>
          <w:sz w:val="24"/>
          <w:szCs w:val="24"/>
          <w:vertAlign w:val="superscript"/>
          <w:rtl/>
        </w:rPr>
        <w:footnoteReference w:customMarkFollows="1" w:id="1259"/>
        <w:t>1259</w:t>
      </w:r>
      <w:r>
        <w:rPr>
          <w:rFonts w:ascii="David" w:hAnsi="David" w:cs="David"/>
          <w:color w:val="000000"/>
          <w:sz w:val="24"/>
          <w:szCs w:val="24"/>
          <w:rtl/>
        </w:rPr>
        <w:t>, שבאופן זה לא גזרו</w:t>
      </w:r>
      <w:r>
        <w:rPr>
          <w:rFonts w:ascii="David" w:hAnsi="David" w:cs="David"/>
          <w:color w:val="0000FF"/>
          <w:sz w:val="24"/>
          <w:szCs w:val="24"/>
          <w:vertAlign w:val="superscript"/>
          <w:rtl/>
        </w:rPr>
        <w:footnoteReference w:customMarkFollows="1" w:id="1260"/>
        <w:t>1260</w:t>
      </w:r>
      <w:r>
        <w:rPr>
          <w:rFonts w:ascii="David" w:hAnsi="David" w:cs="David"/>
          <w:color w:val="000000"/>
          <w:sz w:val="24"/>
          <w:szCs w:val="24"/>
          <w:rtl/>
        </w:rPr>
        <w:t>, ויש שכתבו שמטמאים, כשאר מי חטאת שנפסלו</w:t>
      </w:r>
      <w:r>
        <w:rPr>
          <w:rFonts w:ascii="David" w:hAnsi="David" w:cs="David"/>
          <w:color w:val="0000FF"/>
          <w:sz w:val="24"/>
          <w:szCs w:val="24"/>
          <w:vertAlign w:val="superscript"/>
          <w:rtl/>
        </w:rPr>
        <w:footnoteReference w:customMarkFollows="1" w:id="1261"/>
        <w:t>1261</w:t>
      </w:r>
      <w:r>
        <w:rPr>
          <w:rFonts w:ascii="David" w:hAnsi="David" w:cs="David"/>
          <w:color w:val="000000"/>
          <w:sz w:val="24"/>
          <w:szCs w:val="24"/>
          <w:rtl/>
        </w:rPr>
        <w:t xml:space="preserve">. </w:t>
      </w:r>
    </w:p>
    <w:p w14:paraId="50E98C4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[כשקרשו]</w:t>
      </w:r>
    </w:p>
    <w:p w14:paraId="2AB6718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שקרשו - שהם פסולים, ואף אם הופשרו בחמה, ואם הופשרו מעצמם חזרו להכשרם</w:t>
      </w:r>
      <w:r>
        <w:rPr>
          <w:rFonts w:ascii="David" w:hAnsi="David" w:cs="David"/>
          <w:color w:val="0000FF"/>
          <w:sz w:val="24"/>
          <w:szCs w:val="24"/>
          <w:vertAlign w:val="superscript"/>
          <w:rtl/>
        </w:rPr>
        <w:footnoteReference w:customMarkFollows="1" w:id="1262"/>
        <w:t>1262</w:t>
      </w:r>
      <w:r>
        <w:rPr>
          <w:rFonts w:ascii="David" w:hAnsi="David" w:cs="David"/>
          <w:color w:val="000000"/>
          <w:sz w:val="24"/>
          <w:szCs w:val="24"/>
          <w:rtl/>
        </w:rPr>
        <w:t xml:space="preserve"> - יש סוברים שאינם מטמאים</w:t>
      </w:r>
      <w:r>
        <w:rPr>
          <w:rFonts w:ascii="David" w:hAnsi="David" w:cs="David"/>
          <w:color w:val="0000FF"/>
          <w:sz w:val="24"/>
          <w:szCs w:val="24"/>
          <w:vertAlign w:val="superscript"/>
          <w:rtl/>
        </w:rPr>
        <w:footnoteReference w:customMarkFollows="1" w:id="1263"/>
        <w:t>1263</w:t>
      </w:r>
      <w:r>
        <w:rPr>
          <w:rFonts w:ascii="David" w:hAnsi="David" w:cs="David"/>
          <w:color w:val="000000"/>
          <w:sz w:val="24"/>
          <w:szCs w:val="24"/>
          <w:rtl/>
        </w:rPr>
        <w:t>, שטומאת מי חטאת אינה אלא כשהם מים</w:t>
      </w:r>
      <w:r>
        <w:rPr>
          <w:rFonts w:ascii="David" w:hAnsi="David" w:cs="David"/>
          <w:color w:val="0000FF"/>
          <w:sz w:val="24"/>
          <w:szCs w:val="24"/>
          <w:vertAlign w:val="superscript"/>
          <w:rtl/>
        </w:rPr>
        <w:footnoteReference w:customMarkFollows="1" w:id="1264"/>
        <w:t>1264</w:t>
      </w:r>
      <w:r>
        <w:rPr>
          <w:rFonts w:ascii="David" w:hAnsi="David" w:cs="David"/>
          <w:color w:val="000000"/>
          <w:sz w:val="24"/>
          <w:szCs w:val="24"/>
          <w:rtl/>
        </w:rPr>
        <w:t>. ויש סוברים שהם מטמאים במגע ולא במשא, שכיון שאי אפשר להזות מהם, חשובים הם כמים שאין בהם שיעור הזאה, שאינם מטמאים במשא</w:t>
      </w:r>
      <w:r>
        <w:rPr>
          <w:rFonts w:ascii="David" w:hAnsi="David" w:cs="David"/>
          <w:color w:val="0000FF"/>
          <w:sz w:val="24"/>
          <w:szCs w:val="24"/>
          <w:vertAlign w:val="superscript"/>
          <w:rtl/>
        </w:rPr>
        <w:footnoteReference w:customMarkFollows="1" w:id="1265"/>
        <w:t>1265</w:t>
      </w:r>
      <w:r>
        <w:rPr>
          <w:rFonts w:ascii="David" w:hAnsi="David" w:cs="David"/>
          <w:color w:val="000000"/>
          <w:sz w:val="24"/>
          <w:szCs w:val="24"/>
          <w:rtl/>
        </w:rPr>
        <w:t>, ויש סוברים שהם מטמאים מן התורה, ואף במשא</w:t>
      </w:r>
      <w:r>
        <w:rPr>
          <w:rFonts w:ascii="David" w:hAnsi="David" w:cs="David"/>
          <w:color w:val="0000FF"/>
          <w:sz w:val="24"/>
          <w:szCs w:val="24"/>
          <w:vertAlign w:val="superscript"/>
          <w:rtl/>
        </w:rPr>
        <w:footnoteReference w:customMarkFollows="1" w:id="1266"/>
        <w:t>1266</w:t>
      </w:r>
      <w:r>
        <w:rPr>
          <w:rFonts w:ascii="David" w:hAnsi="David" w:cs="David"/>
          <w:color w:val="000000"/>
          <w:sz w:val="24"/>
          <w:szCs w:val="24"/>
          <w:rtl/>
        </w:rPr>
        <w:t>, ואינם חשובים כמים פסולים, כיון שהם עומדים לחזור להכשרם</w:t>
      </w:r>
      <w:r>
        <w:rPr>
          <w:rFonts w:ascii="David" w:hAnsi="David" w:cs="David"/>
          <w:color w:val="0000FF"/>
          <w:sz w:val="24"/>
          <w:szCs w:val="24"/>
          <w:vertAlign w:val="superscript"/>
          <w:rtl/>
        </w:rPr>
        <w:footnoteReference w:customMarkFollows="1" w:id="1267"/>
        <w:t>1267</w:t>
      </w:r>
      <w:r>
        <w:rPr>
          <w:rFonts w:ascii="David" w:hAnsi="David" w:cs="David"/>
          <w:color w:val="000000"/>
          <w:sz w:val="24"/>
          <w:szCs w:val="24"/>
          <w:rtl/>
        </w:rPr>
        <w:t xml:space="preserve">. </w:t>
      </w:r>
    </w:p>
    <w:p w14:paraId="342D3E2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[מהות טומאתם]</w:t>
      </w:r>
    </w:p>
    <w:p w14:paraId="46B715C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מהות הטומאה שיש במי חטאת הפסולים, יש מן הראשונים והאחרונים שכתבו - לשיטתם שאין טומאתם מן התורה</w:t>
      </w:r>
      <w:r>
        <w:rPr>
          <w:rFonts w:ascii="David" w:hAnsi="David" w:cs="David"/>
          <w:color w:val="0000FF"/>
          <w:sz w:val="24"/>
          <w:szCs w:val="24"/>
          <w:vertAlign w:val="superscript"/>
          <w:rtl/>
        </w:rPr>
        <w:footnoteReference w:customMarkFollows="1" w:id="1268"/>
        <w:t>1268</w:t>
      </w:r>
      <w:r>
        <w:rPr>
          <w:rFonts w:ascii="David" w:hAnsi="David" w:cs="David"/>
          <w:color w:val="000000"/>
          <w:sz w:val="24"/>
          <w:szCs w:val="24"/>
          <w:rtl/>
        </w:rPr>
        <w:t xml:space="preserve"> - שאינם מטמאים את האדם אלא לענין תרומה - שהאדם הנטמא מהם אסור לאכול תרומה</w:t>
      </w:r>
      <w:r>
        <w:rPr>
          <w:rFonts w:ascii="David" w:hAnsi="David" w:cs="David"/>
          <w:color w:val="0000FF"/>
          <w:sz w:val="24"/>
          <w:szCs w:val="24"/>
          <w:vertAlign w:val="superscript"/>
          <w:rtl/>
        </w:rPr>
        <w:footnoteReference w:customMarkFollows="1" w:id="1269"/>
        <w:t>1269</w:t>
      </w:r>
      <w:r>
        <w:rPr>
          <w:rFonts w:ascii="David" w:hAnsi="David" w:cs="David"/>
          <w:color w:val="000000"/>
          <w:sz w:val="24"/>
          <w:szCs w:val="24"/>
          <w:rtl/>
        </w:rPr>
        <w:t>, ומטמא הוא את התרומה</w:t>
      </w:r>
      <w:r>
        <w:rPr>
          <w:rFonts w:ascii="David" w:hAnsi="David" w:cs="David"/>
          <w:color w:val="0000FF"/>
          <w:sz w:val="24"/>
          <w:szCs w:val="24"/>
          <w:vertAlign w:val="superscript"/>
          <w:rtl/>
        </w:rPr>
        <w:footnoteReference w:customMarkFollows="1" w:id="1270"/>
        <w:t>1270</w:t>
      </w:r>
      <w:r>
        <w:rPr>
          <w:rFonts w:ascii="David" w:hAnsi="David" w:cs="David"/>
          <w:color w:val="000000"/>
          <w:sz w:val="24"/>
          <w:szCs w:val="24"/>
          <w:rtl/>
        </w:rPr>
        <w:t xml:space="preserve"> - אבל לא לענין חולין - שיטמא את החולין</w:t>
      </w:r>
      <w:r>
        <w:rPr>
          <w:rFonts w:ascii="David" w:hAnsi="David" w:cs="David"/>
          <w:color w:val="0000FF"/>
          <w:sz w:val="24"/>
          <w:szCs w:val="24"/>
          <w:vertAlign w:val="superscript"/>
          <w:rtl/>
        </w:rPr>
        <w:footnoteReference w:customMarkFollows="1" w:id="1271"/>
        <w:t>1271</w:t>
      </w:r>
      <w:r>
        <w:rPr>
          <w:rFonts w:ascii="David" w:hAnsi="David" w:cs="David"/>
          <w:color w:val="000000"/>
          <w:sz w:val="24"/>
          <w:szCs w:val="24"/>
          <w:rtl/>
        </w:rPr>
        <w:t xml:space="preserve"> - שלא כמים הכשרים להזאה, המטמאים אף לחולין</w:t>
      </w:r>
      <w:r>
        <w:rPr>
          <w:rFonts w:ascii="David" w:hAnsi="David" w:cs="David"/>
          <w:color w:val="0000FF"/>
          <w:sz w:val="24"/>
          <w:szCs w:val="24"/>
          <w:vertAlign w:val="superscript"/>
          <w:rtl/>
        </w:rPr>
        <w:footnoteReference w:customMarkFollows="1" w:id="1272"/>
        <w:t>1272</w:t>
      </w:r>
      <w:r>
        <w:rPr>
          <w:rFonts w:ascii="David" w:hAnsi="David" w:cs="David"/>
          <w:color w:val="000000"/>
          <w:sz w:val="24"/>
          <w:szCs w:val="24"/>
          <w:rtl/>
        </w:rPr>
        <w:t>, ולדעתם זהו ששנינו: מי חטאת שנפסלו מטמאים את הטהור לתרומה</w:t>
      </w:r>
      <w:r>
        <w:rPr>
          <w:rFonts w:ascii="David" w:hAnsi="David" w:cs="David"/>
          <w:color w:val="0000FF"/>
          <w:sz w:val="24"/>
          <w:szCs w:val="24"/>
          <w:vertAlign w:val="superscript"/>
          <w:rtl/>
        </w:rPr>
        <w:footnoteReference w:customMarkFollows="1" w:id="1273"/>
        <w:t>1273</w:t>
      </w:r>
      <w:r>
        <w:rPr>
          <w:rFonts w:ascii="David" w:hAnsi="David" w:cs="David"/>
          <w:color w:val="000000"/>
          <w:sz w:val="24"/>
          <w:szCs w:val="24"/>
          <w:rtl/>
        </w:rPr>
        <w:t>, שלדעתם משמע, שמטמאים לתרומה ולא לחולין</w:t>
      </w:r>
      <w:r>
        <w:rPr>
          <w:rFonts w:ascii="David" w:hAnsi="David" w:cs="David"/>
          <w:color w:val="0000FF"/>
          <w:sz w:val="24"/>
          <w:szCs w:val="24"/>
          <w:vertAlign w:val="superscript"/>
          <w:rtl/>
        </w:rPr>
        <w:footnoteReference w:customMarkFollows="1" w:id="1274"/>
        <w:t>1274</w:t>
      </w:r>
      <w:r>
        <w:rPr>
          <w:rFonts w:ascii="David" w:hAnsi="David" w:cs="David"/>
          <w:color w:val="000000"/>
          <w:sz w:val="24"/>
          <w:szCs w:val="24"/>
          <w:rtl/>
        </w:rPr>
        <w:t>, ויש מן האחרונים שצידדו לומר שמטמאים אף לענין חולין</w:t>
      </w:r>
      <w:r>
        <w:rPr>
          <w:rFonts w:ascii="David" w:hAnsi="David" w:cs="David"/>
          <w:color w:val="0000FF"/>
          <w:sz w:val="24"/>
          <w:szCs w:val="24"/>
          <w:vertAlign w:val="superscript"/>
          <w:rtl/>
        </w:rPr>
        <w:footnoteReference w:customMarkFollows="1" w:id="1275"/>
        <w:t>1275</w:t>
      </w:r>
      <w:r>
        <w:rPr>
          <w:rFonts w:ascii="David" w:hAnsi="David" w:cs="David"/>
          <w:color w:val="000000"/>
          <w:sz w:val="24"/>
          <w:szCs w:val="24"/>
          <w:rtl/>
        </w:rPr>
        <w:t>. ויש שכתבו עוד, שאינם מטמאים אלא במגע, ולא במשא, שלא כמים הכשרים המטמאים אף במשא</w:t>
      </w:r>
      <w:r>
        <w:rPr>
          <w:rFonts w:ascii="David" w:hAnsi="David" w:cs="David"/>
          <w:color w:val="0000FF"/>
          <w:sz w:val="24"/>
          <w:szCs w:val="24"/>
          <w:vertAlign w:val="superscript"/>
          <w:rtl/>
        </w:rPr>
        <w:footnoteReference w:customMarkFollows="1" w:id="1276"/>
        <w:t>1276</w:t>
      </w:r>
      <w:r>
        <w:rPr>
          <w:rFonts w:ascii="David" w:hAnsi="David" w:cs="David"/>
          <w:color w:val="000000"/>
          <w:sz w:val="24"/>
          <w:szCs w:val="24"/>
          <w:rtl/>
        </w:rPr>
        <w:t xml:space="preserve">. ויש מן הראשונים שכתבו חילוק אחר, שמי חטאת שנפסלו אינם מטמאים אלא את האדם הטהור לתרומה, אבל אם נגע בהם אדם הטהור לחטאת, ואפילו בידיו - אם המים טהורים, אבל אם הם טמאים, דינם ככל משקים טמאים </w:t>
      </w:r>
    </w:p>
    <w:p w14:paraId="78CBF79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המטמאים את הידים</w:t>
      </w:r>
      <w:r>
        <w:rPr>
          <w:rFonts w:ascii="David" w:hAnsi="David" w:cs="David"/>
          <w:color w:val="0000FF"/>
          <w:sz w:val="24"/>
          <w:szCs w:val="24"/>
          <w:vertAlign w:val="superscript"/>
          <w:rtl/>
        </w:rPr>
        <w:footnoteReference w:customMarkFollows="1" w:id="1277"/>
        <w:t>1277</w:t>
      </w:r>
      <w:r>
        <w:rPr>
          <w:rFonts w:ascii="David" w:hAnsi="David" w:cs="David"/>
          <w:color w:val="000000"/>
          <w:sz w:val="24"/>
          <w:szCs w:val="24"/>
          <w:rtl/>
        </w:rPr>
        <w:t xml:space="preserve"> - הרי הוא טהור כמות שהיה</w:t>
      </w:r>
      <w:r>
        <w:rPr>
          <w:rFonts w:ascii="David" w:hAnsi="David" w:cs="David"/>
          <w:color w:val="0000FF"/>
          <w:sz w:val="24"/>
          <w:szCs w:val="24"/>
          <w:vertAlign w:val="superscript"/>
          <w:rtl/>
        </w:rPr>
        <w:footnoteReference w:customMarkFollows="1" w:id="1278"/>
        <w:t>1278</w:t>
      </w:r>
      <w:r>
        <w:rPr>
          <w:rFonts w:ascii="David" w:hAnsi="David" w:cs="David"/>
          <w:color w:val="000000"/>
          <w:sz w:val="24"/>
          <w:szCs w:val="24"/>
          <w:rtl/>
        </w:rPr>
        <w:t>, ואפילו לתרומה</w:t>
      </w:r>
      <w:r>
        <w:rPr>
          <w:rFonts w:ascii="David" w:hAnsi="David" w:cs="David"/>
          <w:color w:val="0000FF"/>
          <w:sz w:val="24"/>
          <w:szCs w:val="24"/>
          <w:vertAlign w:val="superscript"/>
          <w:rtl/>
        </w:rPr>
        <w:footnoteReference w:customMarkFollows="1" w:id="1279"/>
        <w:t>1279</w:t>
      </w:r>
      <w:r>
        <w:rPr>
          <w:rFonts w:ascii="David" w:hAnsi="David" w:cs="David"/>
          <w:color w:val="000000"/>
          <w:sz w:val="24"/>
          <w:szCs w:val="24"/>
          <w:rtl/>
        </w:rPr>
        <w:t>, מפני שמים אלו הם ממין שאדם זה טהור לו</w:t>
      </w:r>
      <w:r>
        <w:rPr>
          <w:rFonts w:ascii="David" w:hAnsi="David" w:cs="David"/>
          <w:color w:val="0000FF"/>
          <w:sz w:val="24"/>
          <w:szCs w:val="24"/>
          <w:vertAlign w:val="superscript"/>
          <w:rtl/>
        </w:rPr>
        <w:footnoteReference w:customMarkFollows="1" w:id="1280"/>
        <w:t>1280</w:t>
      </w:r>
      <w:r>
        <w:rPr>
          <w:rFonts w:ascii="David" w:hAnsi="David" w:cs="David"/>
          <w:color w:val="000000"/>
          <w:sz w:val="24"/>
          <w:szCs w:val="24"/>
          <w:rtl/>
        </w:rPr>
        <w:t>, ואף על פי שלדעתם מי חטאת כשרים מטמאים אף את הטהור לחטאת</w:t>
      </w:r>
      <w:r>
        <w:rPr>
          <w:rFonts w:ascii="David" w:hAnsi="David" w:cs="David"/>
          <w:color w:val="0000FF"/>
          <w:sz w:val="24"/>
          <w:szCs w:val="24"/>
          <w:vertAlign w:val="superscript"/>
          <w:rtl/>
        </w:rPr>
        <w:footnoteReference w:customMarkFollows="1" w:id="1281"/>
        <w:t>1281</w:t>
      </w:r>
      <w:r>
        <w:rPr>
          <w:rFonts w:ascii="David" w:hAnsi="David" w:cs="David"/>
          <w:color w:val="000000"/>
          <w:sz w:val="24"/>
          <w:szCs w:val="24"/>
          <w:rtl/>
        </w:rPr>
        <w:t>, שלענין הטהור לחטאת העמידו חכמים דבריהם על דין תורה, שמים שנפסלו אינם מטמאים</w:t>
      </w:r>
      <w:r>
        <w:rPr>
          <w:rFonts w:ascii="David" w:hAnsi="David" w:cs="David"/>
          <w:color w:val="0000FF"/>
          <w:sz w:val="24"/>
          <w:szCs w:val="24"/>
          <w:vertAlign w:val="superscript"/>
          <w:rtl/>
        </w:rPr>
        <w:footnoteReference w:customMarkFollows="1" w:id="1282"/>
        <w:t>1282</w:t>
      </w:r>
      <w:r>
        <w:rPr>
          <w:rFonts w:ascii="David" w:hAnsi="David" w:cs="David"/>
          <w:color w:val="000000"/>
          <w:sz w:val="24"/>
          <w:szCs w:val="24"/>
          <w:rtl/>
        </w:rPr>
        <w:t>, על הסוברים שהטהור לחטאת אינו נטמא אפילו ממים כשרים, עי' לעיל</w:t>
      </w:r>
      <w:r>
        <w:rPr>
          <w:rFonts w:ascii="David" w:hAnsi="David" w:cs="David"/>
          <w:color w:val="0000FF"/>
          <w:sz w:val="24"/>
          <w:szCs w:val="24"/>
          <w:vertAlign w:val="superscript"/>
          <w:rtl/>
        </w:rPr>
        <w:footnoteReference w:customMarkFollows="1" w:id="1283"/>
        <w:t>1283</w:t>
      </w:r>
      <w:r>
        <w:rPr>
          <w:rFonts w:ascii="David" w:hAnsi="David" w:cs="David"/>
          <w:color w:val="000000"/>
          <w:sz w:val="24"/>
          <w:szCs w:val="24"/>
          <w:rtl/>
        </w:rPr>
        <w:t>, ומהם שכתבו שמים הפסולים דינם ככשרים לענין טומאה</w:t>
      </w:r>
      <w:r>
        <w:rPr>
          <w:rFonts w:ascii="David" w:hAnsi="David" w:cs="David"/>
          <w:color w:val="0000FF"/>
          <w:sz w:val="24"/>
          <w:szCs w:val="24"/>
          <w:vertAlign w:val="superscript"/>
          <w:rtl/>
        </w:rPr>
        <w:footnoteReference w:customMarkFollows="1" w:id="1284"/>
        <w:t>1284</w:t>
      </w:r>
      <w:r>
        <w:rPr>
          <w:rFonts w:ascii="David" w:hAnsi="David" w:cs="David"/>
          <w:color w:val="000000"/>
          <w:sz w:val="24"/>
          <w:szCs w:val="24"/>
          <w:rtl/>
        </w:rPr>
        <w:t>. ולסוברים שמי חטאת שנפסלו מטמאים מן התורה</w:t>
      </w:r>
      <w:r>
        <w:rPr>
          <w:rFonts w:ascii="David" w:hAnsi="David" w:cs="David"/>
          <w:color w:val="0000FF"/>
          <w:sz w:val="24"/>
          <w:szCs w:val="24"/>
          <w:vertAlign w:val="superscript"/>
          <w:rtl/>
        </w:rPr>
        <w:footnoteReference w:customMarkFollows="1" w:id="1285"/>
        <w:t>1285</w:t>
      </w:r>
      <w:r>
        <w:rPr>
          <w:rFonts w:ascii="David" w:hAnsi="David" w:cs="David"/>
          <w:color w:val="000000"/>
          <w:sz w:val="24"/>
          <w:szCs w:val="24"/>
          <w:rtl/>
        </w:rPr>
        <w:t>, אין חילוק בין מים כשרים לפסולים, וכל הטומאות הנוהגות בכשרים נוהגות אף בפסולים</w:t>
      </w:r>
      <w:r>
        <w:rPr>
          <w:rFonts w:ascii="David" w:hAnsi="David" w:cs="David"/>
          <w:color w:val="0000FF"/>
          <w:sz w:val="24"/>
          <w:szCs w:val="24"/>
          <w:vertAlign w:val="superscript"/>
          <w:rtl/>
        </w:rPr>
        <w:footnoteReference w:customMarkFollows="1" w:id="1286"/>
        <w:t>1286</w:t>
      </w:r>
      <w:r>
        <w:rPr>
          <w:rFonts w:ascii="David" w:hAnsi="David" w:cs="David"/>
          <w:color w:val="000000"/>
          <w:sz w:val="24"/>
          <w:szCs w:val="24"/>
          <w:rtl/>
        </w:rPr>
        <w:t xml:space="preserve">. </w:t>
      </w:r>
    </w:p>
    <w:p w14:paraId="43E65CC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[מים הפסולים מדרבנן]</w:t>
      </w:r>
    </w:p>
    <w:p w14:paraId="77833BE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פסולים, שפסולם אינו מן התורה אלא מדרבנן - על דברים הפוסלים את המים מדרבנן, עי' לעיל</w:t>
      </w:r>
      <w:r>
        <w:rPr>
          <w:rFonts w:ascii="David" w:hAnsi="David" w:cs="David"/>
          <w:color w:val="0000FF"/>
          <w:sz w:val="24"/>
          <w:szCs w:val="24"/>
          <w:vertAlign w:val="superscript"/>
          <w:rtl/>
        </w:rPr>
        <w:footnoteReference w:customMarkFollows="1" w:id="1287"/>
        <w:t>1287</w:t>
      </w:r>
      <w:r>
        <w:rPr>
          <w:rFonts w:ascii="David" w:hAnsi="David" w:cs="David"/>
          <w:color w:val="000000"/>
          <w:sz w:val="24"/>
          <w:szCs w:val="24"/>
          <w:rtl/>
        </w:rPr>
        <w:t xml:space="preserve"> - מטמאים כדין מים כשרים, הואיל ומן התורה כשרים הם</w:t>
      </w:r>
      <w:r>
        <w:rPr>
          <w:rFonts w:ascii="David" w:hAnsi="David" w:cs="David"/>
          <w:color w:val="0000FF"/>
          <w:sz w:val="24"/>
          <w:szCs w:val="24"/>
          <w:vertAlign w:val="superscript"/>
          <w:rtl/>
        </w:rPr>
        <w:footnoteReference w:customMarkFollows="1" w:id="1288"/>
        <w:t>1288</w:t>
      </w:r>
      <w:r>
        <w:rPr>
          <w:rFonts w:ascii="David" w:hAnsi="David" w:cs="David"/>
          <w:color w:val="000000"/>
          <w:sz w:val="24"/>
          <w:szCs w:val="24"/>
          <w:rtl/>
        </w:rPr>
        <w:t>, והוא שלא הסיח דעתו מהם, שאם הסיח דעתו נפסלו מן התורה</w:t>
      </w:r>
      <w:r>
        <w:rPr>
          <w:rFonts w:ascii="David" w:hAnsi="David" w:cs="David"/>
          <w:color w:val="0000FF"/>
          <w:sz w:val="24"/>
          <w:szCs w:val="24"/>
          <w:vertAlign w:val="superscript"/>
          <w:rtl/>
        </w:rPr>
        <w:footnoteReference w:customMarkFollows="1" w:id="1289"/>
        <w:t>1289</w:t>
      </w:r>
      <w:r>
        <w:rPr>
          <w:rFonts w:ascii="David" w:hAnsi="David" w:cs="David"/>
          <w:color w:val="000000"/>
          <w:sz w:val="24"/>
          <w:szCs w:val="24"/>
          <w:rtl/>
        </w:rPr>
        <w:t>. וכן יש מן הראשונים שכתבו, שאפר-חטאת* שנתערב באפר פסול וקידש בכולם, אם היה הרוב אפר חטאת, המים שנתקדשו מטמאים כשאר מי חטאת</w:t>
      </w:r>
      <w:r>
        <w:rPr>
          <w:rFonts w:ascii="David" w:hAnsi="David" w:cs="David"/>
          <w:color w:val="0000FF"/>
          <w:sz w:val="24"/>
          <w:szCs w:val="24"/>
          <w:vertAlign w:val="superscript"/>
          <w:rtl/>
        </w:rPr>
        <w:footnoteReference w:customMarkFollows="1" w:id="1290"/>
        <w:t>1290</w:t>
      </w:r>
      <w:r>
        <w:rPr>
          <w:rFonts w:ascii="David" w:hAnsi="David" w:cs="David"/>
          <w:color w:val="000000"/>
          <w:sz w:val="24"/>
          <w:szCs w:val="24"/>
          <w:rtl/>
        </w:rPr>
        <w:t xml:space="preserve"> - ואם היה הרוב אפר פסול, אין מטמאים במגע, אבל מטמאים במשא</w:t>
      </w:r>
      <w:r>
        <w:rPr>
          <w:rFonts w:ascii="David" w:hAnsi="David" w:cs="David"/>
          <w:color w:val="0000FF"/>
          <w:sz w:val="24"/>
          <w:szCs w:val="24"/>
          <w:vertAlign w:val="superscript"/>
          <w:rtl/>
        </w:rPr>
        <w:footnoteReference w:customMarkFollows="1" w:id="1291"/>
        <w:t>1291</w:t>
      </w:r>
      <w:r>
        <w:rPr>
          <w:rFonts w:ascii="David" w:hAnsi="David" w:cs="David"/>
          <w:color w:val="000000"/>
          <w:sz w:val="24"/>
          <w:szCs w:val="24"/>
          <w:rtl/>
        </w:rPr>
        <w:t xml:space="preserve"> - ופירשו אחרונים, שאין האפר פסול לקידוש אלא מפני שהחמירו במי חטאת שאין מיעוט האפר הפסול בטל ברוב</w:t>
      </w:r>
      <w:r>
        <w:rPr>
          <w:rFonts w:ascii="David" w:hAnsi="David" w:cs="David"/>
          <w:color w:val="0000FF"/>
          <w:sz w:val="24"/>
          <w:szCs w:val="24"/>
          <w:vertAlign w:val="superscript"/>
          <w:rtl/>
        </w:rPr>
        <w:footnoteReference w:customMarkFollows="1" w:id="1292"/>
        <w:t>1292</w:t>
      </w:r>
      <w:r>
        <w:rPr>
          <w:rFonts w:ascii="David" w:hAnsi="David" w:cs="David"/>
          <w:color w:val="000000"/>
          <w:sz w:val="24"/>
          <w:szCs w:val="24"/>
          <w:rtl/>
        </w:rPr>
        <w:t>, והיאך יקלו במים שנתקדשו בו שלא יטמאו מן התורה</w:t>
      </w:r>
      <w:r>
        <w:rPr>
          <w:rFonts w:ascii="David" w:hAnsi="David" w:cs="David"/>
          <w:color w:val="0000FF"/>
          <w:sz w:val="24"/>
          <w:szCs w:val="24"/>
          <w:vertAlign w:val="superscript"/>
          <w:rtl/>
        </w:rPr>
        <w:footnoteReference w:customMarkFollows="1" w:id="1293"/>
        <w:t>1293</w:t>
      </w:r>
      <w:r>
        <w:rPr>
          <w:rFonts w:ascii="David" w:hAnsi="David" w:cs="David"/>
          <w:color w:val="000000"/>
          <w:sz w:val="24"/>
          <w:szCs w:val="24"/>
          <w:rtl/>
        </w:rPr>
        <w:t>. וכן יש מן האחרונים שכתבו, שמי חטאת שנפלו לתוכם מיעוט מים פסולים, הואיל ומן התורה כשרים להזאה, ואינם פסולים אלא מדבריהם, לסוברים כן</w:t>
      </w:r>
      <w:r>
        <w:rPr>
          <w:rFonts w:ascii="David" w:hAnsi="David" w:cs="David"/>
          <w:color w:val="0000FF"/>
          <w:sz w:val="24"/>
          <w:szCs w:val="24"/>
          <w:vertAlign w:val="superscript"/>
          <w:rtl/>
        </w:rPr>
        <w:footnoteReference w:customMarkFollows="1" w:id="1294"/>
        <w:t>1294</w:t>
      </w:r>
      <w:r>
        <w:rPr>
          <w:rFonts w:ascii="David" w:hAnsi="David" w:cs="David"/>
          <w:color w:val="000000"/>
          <w:sz w:val="24"/>
          <w:szCs w:val="24"/>
          <w:rtl/>
        </w:rPr>
        <w:t>, מטמאים כדין מים כשרים</w:t>
      </w:r>
      <w:r>
        <w:rPr>
          <w:rFonts w:ascii="David" w:hAnsi="David" w:cs="David"/>
          <w:color w:val="0000FF"/>
          <w:sz w:val="24"/>
          <w:szCs w:val="24"/>
          <w:vertAlign w:val="superscript"/>
          <w:rtl/>
        </w:rPr>
        <w:footnoteReference w:customMarkFollows="1" w:id="1295"/>
        <w:t>1295</w:t>
      </w:r>
      <w:r>
        <w:rPr>
          <w:rFonts w:ascii="David" w:hAnsi="David" w:cs="David"/>
          <w:color w:val="000000"/>
          <w:sz w:val="24"/>
          <w:szCs w:val="24"/>
          <w:rtl/>
        </w:rPr>
        <w:t xml:space="preserve">, על הסוברים שמי חטאת שנפסלו </w:t>
      </w:r>
    </w:p>
    <w:p w14:paraId="009DEA6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מחמת תערובת מיעוט מים פסולים, מטמאים מטעם אחר, ועל הסוברים שמטעם אחר אינם מטמאים במגע, ואפילו לסוברים שאינם פסולים מן התורה, עי' להלן</w:t>
      </w:r>
      <w:r>
        <w:rPr>
          <w:rFonts w:ascii="David" w:hAnsi="David" w:cs="David"/>
          <w:color w:val="0000FF"/>
          <w:sz w:val="24"/>
          <w:szCs w:val="24"/>
          <w:vertAlign w:val="superscript"/>
          <w:rtl/>
        </w:rPr>
        <w:footnoteReference w:customMarkFollows="1" w:id="1296"/>
        <w:t>1296</w:t>
      </w:r>
      <w:r>
        <w:rPr>
          <w:rFonts w:ascii="David" w:hAnsi="David" w:cs="David"/>
          <w:color w:val="000000"/>
          <w:sz w:val="24"/>
          <w:szCs w:val="24"/>
          <w:rtl/>
        </w:rPr>
        <w:t xml:space="preserve">. </w:t>
      </w:r>
    </w:p>
    <w:p w14:paraId="45374BD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[טמא שנגע במים טהורים]</w:t>
      </w:r>
    </w:p>
    <w:p w14:paraId="756439D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טמא שנגע במי חטאת טהורים, יש מן האחרונים שכתבו שאף על פי שנטמאו המים בנגיעתו, ונפסלו להזאה, לסוברים כן</w:t>
      </w:r>
      <w:r>
        <w:rPr>
          <w:rFonts w:ascii="David" w:hAnsi="David" w:cs="David"/>
          <w:color w:val="0000FF"/>
          <w:sz w:val="24"/>
          <w:szCs w:val="24"/>
          <w:vertAlign w:val="superscript"/>
          <w:rtl/>
        </w:rPr>
        <w:footnoteReference w:customMarkFollows="1" w:id="1297"/>
        <w:t>1297</w:t>
      </w:r>
      <w:r>
        <w:rPr>
          <w:rFonts w:ascii="David" w:hAnsi="David" w:cs="David"/>
          <w:color w:val="000000"/>
          <w:sz w:val="24"/>
          <w:szCs w:val="24"/>
          <w:rtl/>
        </w:rPr>
        <w:t>, נטמא גופו בטומאה חמורה מן התורה ככל נוגע במי חטאת טהורים</w:t>
      </w:r>
      <w:r>
        <w:rPr>
          <w:rFonts w:ascii="David" w:hAnsi="David" w:cs="David"/>
          <w:color w:val="0000FF"/>
          <w:sz w:val="24"/>
          <w:szCs w:val="24"/>
          <w:vertAlign w:val="superscript"/>
          <w:rtl/>
        </w:rPr>
        <w:footnoteReference w:customMarkFollows="1" w:id="1298"/>
        <w:t>1298</w:t>
      </w:r>
      <w:r>
        <w:rPr>
          <w:rFonts w:ascii="David" w:hAnsi="David" w:cs="David"/>
          <w:color w:val="000000"/>
          <w:sz w:val="24"/>
          <w:szCs w:val="24"/>
          <w:rtl/>
        </w:rPr>
        <w:t>, ואין אומרים שכיון שטימא את המים טומאתו וטומאת המים באים כאחד, והרי זה כנוגע במים פסולים שאינם מטמאים מן התורה, לסוברים כן</w:t>
      </w:r>
      <w:r>
        <w:rPr>
          <w:rFonts w:ascii="David" w:hAnsi="David" w:cs="David"/>
          <w:color w:val="0000FF"/>
          <w:sz w:val="24"/>
          <w:szCs w:val="24"/>
          <w:vertAlign w:val="superscript"/>
          <w:rtl/>
        </w:rPr>
        <w:footnoteReference w:customMarkFollows="1" w:id="1299"/>
        <w:t>1299</w:t>
      </w:r>
      <w:r>
        <w:rPr>
          <w:rFonts w:ascii="David" w:hAnsi="David" w:cs="David"/>
          <w:color w:val="000000"/>
          <w:sz w:val="24"/>
          <w:szCs w:val="24"/>
          <w:rtl/>
        </w:rPr>
        <w:t>, שהרי לא חילק הכתוב בנוגע במי חטאת טהורים בין שיהיה הנוגע טהור או טמא</w:t>
      </w:r>
      <w:r>
        <w:rPr>
          <w:rFonts w:ascii="David" w:hAnsi="David" w:cs="David"/>
          <w:color w:val="0000FF"/>
          <w:sz w:val="24"/>
          <w:szCs w:val="24"/>
          <w:vertAlign w:val="superscript"/>
          <w:rtl/>
        </w:rPr>
        <w:footnoteReference w:customMarkFollows="1" w:id="1300"/>
        <w:t>1300</w:t>
      </w:r>
      <w:r>
        <w:rPr>
          <w:rFonts w:ascii="David" w:hAnsi="David" w:cs="David"/>
          <w:color w:val="000000"/>
          <w:sz w:val="24"/>
          <w:szCs w:val="24"/>
          <w:rtl/>
        </w:rPr>
        <w:t>. ויש שמפקפקים בזה</w:t>
      </w:r>
      <w:r>
        <w:rPr>
          <w:rFonts w:ascii="David" w:hAnsi="David" w:cs="David"/>
          <w:color w:val="0000FF"/>
          <w:sz w:val="24"/>
          <w:szCs w:val="24"/>
          <w:vertAlign w:val="superscript"/>
          <w:rtl/>
        </w:rPr>
        <w:footnoteReference w:customMarkFollows="1" w:id="1301"/>
        <w:t>1301</w:t>
      </w:r>
      <w:r>
        <w:rPr>
          <w:rFonts w:ascii="David" w:hAnsi="David" w:cs="David"/>
          <w:color w:val="000000"/>
          <w:sz w:val="24"/>
          <w:szCs w:val="24"/>
          <w:rtl/>
        </w:rPr>
        <w:t xml:space="preserve">. </w:t>
      </w:r>
    </w:p>
    <w:p w14:paraId="210BB2C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[מים פסולים שנתנו בהם אפר]</w:t>
      </w:r>
    </w:p>
    <w:p w14:paraId="58D6C686"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שאינם ראויים להזאה שנתנו בהם אפר-חטאת*, יש מן הראשונים הגורסים במשנה, שדינם כמי חטאת שנפסלו, ומטמאים את האדם לתרומה</w:t>
      </w:r>
      <w:r>
        <w:rPr>
          <w:rFonts w:ascii="David" w:hAnsi="David" w:cs="David"/>
          <w:color w:val="0000FF"/>
          <w:sz w:val="24"/>
          <w:szCs w:val="24"/>
          <w:vertAlign w:val="superscript"/>
          <w:rtl/>
        </w:rPr>
        <w:footnoteReference w:customMarkFollows="1" w:id="1302"/>
        <w:t>1302</w:t>
      </w:r>
      <w:r>
        <w:rPr>
          <w:rFonts w:ascii="David" w:hAnsi="David" w:cs="David"/>
          <w:color w:val="000000"/>
          <w:sz w:val="24"/>
          <w:szCs w:val="24"/>
          <w:rtl/>
        </w:rPr>
        <w:t>, ואין אומרים שכיון שלא היתה להם שעת הכושר להזאה, אינם חשובים מי חטאת, ולא גזרו בהם טומאה</w:t>
      </w:r>
      <w:r>
        <w:rPr>
          <w:rFonts w:ascii="David" w:hAnsi="David" w:cs="David"/>
          <w:color w:val="0000FF"/>
          <w:sz w:val="24"/>
          <w:szCs w:val="24"/>
          <w:vertAlign w:val="superscript"/>
          <w:rtl/>
        </w:rPr>
        <w:footnoteReference w:customMarkFollows="1" w:id="1303"/>
        <w:t>1303</w:t>
      </w:r>
      <w:r>
        <w:rPr>
          <w:rFonts w:ascii="David" w:hAnsi="David" w:cs="David"/>
          <w:color w:val="000000"/>
          <w:sz w:val="24"/>
          <w:szCs w:val="24"/>
          <w:rtl/>
        </w:rPr>
        <w:t>, ויש שפירשו שחששו שמא יבואו להחליפם במי חטאת כשרים</w:t>
      </w:r>
      <w:r>
        <w:rPr>
          <w:rFonts w:ascii="David" w:hAnsi="David" w:cs="David"/>
          <w:color w:val="0000FF"/>
          <w:sz w:val="24"/>
          <w:szCs w:val="24"/>
          <w:vertAlign w:val="superscript"/>
          <w:rtl/>
        </w:rPr>
        <w:footnoteReference w:customMarkFollows="1" w:id="1304"/>
        <w:t>1304</w:t>
      </w:r>
      <w:r>
        <w:rPr>
          <w:rFonts w:ascii="David" w:hAnsi="David" w:cs="David"/>
          <w:color w:val="000000"/>
          <w:sz w:val="24"/>
          <w:szCs w:val="24"/>
          <w:rtl/>
        </w:rPr>
        <w:t>. ולדעתם כן היא דעת תנא קמא בתוספתא, שאמר שאפר כשר שנתערב במים פסולים מטמאים המים את הכהן ואת התרומה, ור' יעקב חולק וסובר שמטמאים הם משום משקה</w:t>
      </w:r>
      <w:r>
        <w:rPr>
          <w:rFonts w:ascii="David" w:hAnsi="David" w:cs="David"/>
          <w:color w:val="0000FF"/>
          <w:sz w:val="24"/>
          <w:szCs w:val="24"/>
          <w:vertAlign w:val="superscript"/>
          <w:rtl/>
        </w:rPr>
        <w:footnoteReference w:customMarkFollows="1" w:id="1305"/>
        <w:t>1305</w:t>
      </w:r>
      <w:r>
        <w:rPr>
          <w:rFonts w:ascii="David" w:hAnsi="David" w:cs="David"/>
          <w:color w:val="000000"/>
          <w:sz w:val="24"/>
          <w:szCs w:val="24"/>
          <w:rtl/>
        </w:rPr>
        <w:t>, שלדעתו כיון שלא היתה להם שעת הכושר אינם מטמאים משום מי חטאת, אלא משום משקים שאינם טהורים לחטאת המטמאים לחטאת</w:t>
      </w:r>
      <w:r>
        <w:rPr>
          <w:rFonts w:ascii="David" w:hAnsi="David" w:cs="David"/>
          <w:color w:val="0000FF"/>
          <w:sz w:val="24"/>
          <w:szCs w:val="24"/>
          <w:vertAlign w:val="superscript"/>
          <w:rtl/>
        </w:rPr>
        <w:footnoteReference w:customMarkFollows="1" w:id="1306"/>
        <w:t>1306</w:t>
      </w:r>
      <w:r>
        <w:rPr>
          <w:rFonts w:ascii="David" w:hAnsi="David" w:cs="David"/>
          <w:color w:val="000000"/>
          <w:sz w:val="24"/>
          <w:szCs w:val="24"/>
          <w:rtl/>
        </w:rPr>
        <w:t>. ויש מן הראשונים הגורסים במשנה, שמים שאינם ראויים להזאה שנתנו בהם את האפר, אין בהם טומאת מי חטאת כלל</w:t>
      </w:r>
      <w:r>
        <w:rPr>
          <w:rFonts w:ascii="David" w:hAnsi="David" w:cs="David"/>
          <w:color w:val="0000FF"/>
          <w:sz w:val="24"/>
          <w:szCs w:val="24"/>
          <w:vertAlign w:val="superscript"/>
          <w:rtl/>
        </w:rPr>
        <w:footnoteReference w:customMarkFollows="1" w:id="1307"/>
        <w:t>1307</w:t>
      </w:r>
      <w:r>
        <w:rPr>
          <w:rFonts w:ascii="David" w:hAnsi="David" w:cs="David"/>
          <w:color w:val="000000"/>
          <w:sz w:val="24"/>
          <w:szCs w:val="24"/>
          <w:rtl/>
        </w:rPr>
        <w:t>, ואותה ששנינו בתוספתא שלדעת תנא קמא הם מטמאים את הכהן ואת התרומה, לא משום טומאת מי חטאת הם מטמאים, אלא מטעם אחר</w:t>
      </w:r>
      <w:r>
        <w:rPr>
          <w:rFonts w:ascii="David" w:hAnsi="David" w:cs="David"/>
          <w:color w:val="0000FF"/>
          <w:sz w:val="24"/>
          <w:szCs w:val="24"/>
          <w:vertAlign w:val="superscript"/>
          <w:rtl/>
        </w:rPr>
        <w:footnoteReference w:customMarkFollows="1" w:id="1308"/>
        <w:t>1308</w:t>
      </w:r>
      <w:r>
        <w:rPr>
          <w:rFonts w:ascii="David" w:hAnsi="David" w:cs="David"/>
          <w:color w:val="000000"/>
          <w:sz w:val="24"/>
          <w:szCs w:val="24"/>
          <w:rtl/>
        </w:rPr>
        <w:t xml:space="preserve">. </w:t>
      </w:r>
    </w:p>
    <w:p w14:paraId="428AE60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[לטמא טומאת משקים]</w:t>
      </w:r>
    </w:p>
    <w:p w14:paraId="65A7BB9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שנפסלו, באופן שאינם מטמאים טומאה חמורה</w:t>
      </w:r>
      <w:r>
        <w:rPr>
          <w:rFonts w:ascii="David" w:hAnsi="David" w:cs="David"/>
          <w:color w:val="0000FF"/>
          <w:sz w:val="24"/>
          <w:szCs w:val="24"/>
          <w:vertAlign w:val="superscript"/>
          <w:rtl/>
        </w:rPr>
        <w:footnoteReference w:customMarkFollows="1" w:id="1309"/>
        <w:t>1309</w:t>
      </w:r>
      <w:r>
        <w:rPr>
          <w:rFonts w:ascii="David" w:hAnsi="David" w:cs="David"/>
          <w:color w:val="000000"/>
          <w:sz w:val="24"/>
          <w:szCs w:val="24"/>
          <w:rtl/>
        </w:rPr>
        <w:t xml:space="preserve">, מטמאים טמאת-משקים* </w:t>
      </w:r>
    </w:p>
    <w:p w14:paraId="6ED36A6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 שמשקים טמאים מטמאים אוכלים ומשקים וכלים</w:t>
      </w:r>
      <w:r>
        <w:rPr>
          <w:rFonts w:ascii="David" w:hAnsi="David" w:cs="David"/>
          <w:color w:val="0000FF"/>
          <w:sz w:val="24"/>
          <w:szCs w:val="24"/>
          <w:vertAlign w:val="superscript"/>
          <w:rtl/>
        </w:rPr>
        <w:footnoteReference w:customMarkFollows="1" w:id="1310"/>
        <w:t>1310</w:t>
      </w:r>
      <w:r>
        <w:rPr>
          <w:rFonts w:ascii="David" w:hAnsi="David" w:cs="David"/>
          <w:color w:val="000000"/>
          <w:sz w:val="24"/>
          <w:szCs w:val="24"/>
          <w:rtl/>
        </w:rPr>
        <w:t xml:space="preserve"> - אף על פי שלא נגעה טומאה באותם המים</w:t>
      </w:r>
      <w:r>
        <w:rPr>
          <w:rFonts w:ascii="David" w:hAnsi="David" w:cs="David"/>
          <w:color w:val="0000FF"/>
          <w:sz w:val="24"/>
          <w:szCs w:val="24"/>
          <w:vertAlign w:val="superscript"/>
          <w:rtl/>
        </w:rPr>
        <w:footnoteReference w:customMarkFollows="1" w:id="1311"/>
        <w:t>1311</w:t>
      </w:r>
      <w:r>
        <w:rPr>
          <w:rFonts w:ascii="David" w:hAnsi="David" w:cs="David"/>
          <w:color w:val="000000"/>
          <w:sz w:val="24"/>
          <w:szCs w:val="24"/>
          <w:rtl/>
        </w:rPr>
        <w:t>, וכן אמרו לענין פרה ששתתה מי חטאת, שאף על פי שאין המים מטמאים אותה בטומאה חמורה של מי חטאת אפילו מדבריהם</w:t>
      </w:r>
      <w:r>
        <w:rPr>
          <w:rFonts w:ascii="David" w:hAnsi="David" w:cs="David"/>
          <w:color w:val="0000FF"/>
          <w:sz w:val="24"/>
          <w:szCs w:val="24"/>
          <w:vertAlign w:val="superscript"/>
          <w:rtl/>
        </w:rPr>
        <w:footnoteReference w:customMarkFollows="1" w:id="1312"/>
        <w:t>1312</w:t>
      </w:r>
      <w:r>
        <w:rPr>
          <w:rFonts w:ascii="David" w:hAnsi="David" w:cs="David"/>
          <w:color w:val="000000"/>
          <w:sz w:val="24"/>
          <w:szCs w:val="24"/>
          <w:rtl/>
        </w:rPr>
        <w:t>, מכל מקום מטמאים טומאה קלה</w:t>
      </w:r>
      <w:r>
        <w:rPr>
          <w:rFonts w:ascii="David" w:hAnsi="David" w:cs="David"/>
          <w:color w:val="0000FF"/>
          <w:sz w:val="24"/>
          <w:szCs w:val="24"/>
          <w:vertAlign w:val="superscript"/>
          <w:rtl/>
        </w:rPr>
        <w:footnoteReference w:customMarkFollows="1" w:id="1313"/>
        <w:t>1313</w:t>
      </w:r>
      <w:r>
        <w:rPr>
          <w:rFonts w:ascii="David" w:hAnsi="David" w:cs="David"/>
          <w:color w:val="000000"/>
          <w:sz w:val="24"/>
          <w:szCs w:val="24"/>
          <w:rtl/>
        </w:rPr>
        <w:t>, והיינו טומאת משקים</w:t>
      </w:r>
      <w:r>
        <w:rPr>
          <w:rFonts w:ascii="David" w:hAnsi="David" w:cs="David"/>
          <w:color w:val="0000FF"/>
          <w:sz w:val="24"/>
          <w:szCs w:val="24"/>
          <w:vertAlign w:val="superscript"/>
          <w:rtl/>
        </w:rPr>
        <w:footnoteReference w:customMarkFollows="1" w:id="1314"/>
        <w:t>1314</w:t>
      </w:r>
      <w:r>
        <w:rPr>
          <w:rFonts w:ascii="David" w:hAnsi="David" w:cs="David"/>
          <w:color w:val="000000"/>
          <w:sz w:val="24"/>
          <w:szCs w:val="24"/>
          <w:rtl/>
        </w:rPr>
        <w:t>, ואף על פי שלא נגעה בהם טומאה</w:t>
      </w:r>
      <w:r>
        <w:rPr>
          <w:rFonts w:ascii="David" w:hAnsi="David" w:cs="David"/>
          <w:color w:val="0000FF"/>
          <w:sz w:val="24"/>
          <w:szCs w:val="24"/>
          <w:vertAlign w:val="superscript"/>
          <w:rtl/>
        </w:rPr>
        <w:footnoteReference w:customMarkFollows="1" w:id="1315"/>
        <w:t>1315</w:t>
      </w:r>
      <w:r>
        <w:rPr>
          <w:rFonts w:ascii="David" w:hAnsi="David" w:cs="David"/>
          <w:color w:val="000000"/>
          <w:sz w:val="24"/>
          <w:szCs w:val="24"/>
          <w:rtl/>
        </w:rPr>
        <w:t>, על הסוברים שבטלים במעיה לגמרי, אף מטומאת משקים, ע"ע הסח הדעת</w:t>
      </w:r>
      <w:r>
        <w:rPr>
          <w:rFonts w:ascii="David" w:hAnsi="David" w:cs="David"/>
          <w:color w:val="0000FF"/>
          <w:sz w:val="24"/>
          <w:szCs w:val="24"/>
          <w:vertAlign w:val="superscript"/>
          <w:rtl/>
        </w:rPr>
        <w:footnoteReference w:customMarkFollows="1" w:id="1316"/>
        <w:t>1316</w:t>
      </w:r>
      <w:r>
        <w:rPr>
          <w:rFonts w:ascii="David" w:hAnsi="David" w:cs="David"/>
          <w:color w:val="000000"/>
          <w:sz w:val="24"/>
          <w:szCs w:val="24"/>
          <w:rtl/>
        </w:rPr>
        <w:t>, על שיעור הזמן שיהיו המשקים במעיה, שחשוב עיכול, ושוב אינם מטמאים, ע"ע עיכול. ובטעם הדבר שהם מטמאים בטומאת משקים בלא נגיעה בטומאה, נחלקו ראשונים: יש שכתבו, שהמים נטמאים בטומאת מי חטאת מחמת עצמם, שאין נגיעה גדולה ממה שהם נוגעים בעצמם, ונעשים משקים טמאים</w:t>
      </w:r>
      <w:r>
        <w:rPr>
          <w:rFonts w:ascii="David" w:hAnsi="David" w:cs="David"/>
          <w:color w:val="0000FF"/>
          <w:sz w:val="24"/>
          <w:szCs w:val="24"/>
          <w:vertAlign w:val="superscript"/>
          <w:rtl/>
        </w:rPr>
        <w:footnoteReference w:customMarkFollows="1" w:id="1317"/>
        <w:t>1317</w:t>
      </w:r>
      <w:r>
        <w:rPr>
          <w:rFonts w:ascii="David" w:hAnsi="David" w:cs="David"/>
          <w:color w:val="000000"/>
          <w:sz w:val="24"/>
          <w:szCs w:val="24"/>
          <w:rtl/>
        </w:rPr>
        <w:t>, ונחלקו אחרונים בדעתם, יש שכתבו שאינם מטמאים טומאת משקים אלא לאחר שנפסלו ופקעה מהם טומאת מי חטאת - והיינו, בשעה שנפסלים, שנגיעתם ופסולם באים כאחד</w:t>
      </w:r>
      <w:r>
        <w:rPr>
          <w:rFonts w:ascii="David" w:hAnsi="David" w:cs="David"/>
          <w:color w:val="0000FF"/>
          <w:sz w:val="24"/>
          <w:szCs w:val="24"/>
          <w:vertAlign w:val="superscript"/>
          <w:rtl/>
        </w:rPr>
        <w:footnoteReference w:customMarkFollows="1" w:id="1318"/>
        <w:t>1318</w:t>
      </w:r>
      <w:r>
        <w:rPr>
          <w:rFonts w:ascii="David" w:hAnsi="David" w:cs="David"/>
          <w:color w:val="000000"/>
          <w:sz w:val="24"/>
          <w:szCs w:val="24"/>
          <w:rtl/>
        </w:rPr>
        <w:t xml:space="preserve"> - שבשעה שהם מטמאים טומאת מי חטאת אנו אומרים "שבע לו טומאה"</w:t>
      </w:r>
      <w:r>
        <w:rPr>
          <w:rFonts w:ascii="David" w:hAnsi="David" w:cs="David"/>
          <w:color w:val="0000FF"/>
          <w:sz w:val="24"/>
          <w:szCs w:val="24"/>
          <w:vertAlign w:val="superscript"/>
          <w:rtl/>
        </w:rPr>
        <w:footnoteReference w:customMarkFollows="1" w:id="1319"/>
        <w:t>1319</w:t>
      </w:r>
      <w:r>
        <w:rPr>
          <w:rFonts w:ascii="David" w:hAnsi="David" w:cs="David"/>
          <w:color w:val="000000"/>
          <w:sz w:val="24"/>
          <w:szCs w:val="24"/>
          <w:rtl/>
        </w:rPr>
        <w:t>, ואין בהם טומאה נוספת</w:t>
      </w:r>
      <w:r>
        <w:rPr>
          <w:rFonts w:ascii="David" w:hAnsi="David" w:cs="David"/>
          <w:color w:val="0000FF"/>
          <w:sz w:val="24"/>
          <w:szCs w:val="24"/>
          <w:vertAlign w:val="superscript"/>
          <w:rtl/>
        </w:rPr>
        <w:footnoteReference w:customMarkFollows="1" w:id="1320"/>
        <w:t>1320</w:t>
      </w:r>
      <w:r>
        <w:rPr>
          <w:rFonts w:ascii="David" w:hAnsi="David" w:cs="David"/>
          <w:color w:val="000000"/>
          <w:sz w:val="24"/>
          <w:szCs w:val="24"/>
          <w:rtl/>
        </w:rPr>
        <w:t>, ויש שכתבו, שאף קודם שנפסלו יש בהם טומאת משקים, ואין אומרים "שבע לו טומאה", שלדעתם המים עצמם טהורים הם, וגזירת הכתוב היא שהנוגע בהם נעשה טמא</w:t>
      </w:r>
      <w:r>
        <w:rPr>
          <w:rFonts w:ascii="David" w:hAnsi="David" w:cs="David"/>
          <w:color w:val="0000FF"/>
          <w:sz w:val="24"/>
          <w:szCs w:val="24"/>
          <w:vertAlign w:val="superscript"/>
          <w:rtl/>
        </w:rPr>
        <w:footnoteReference w:customMarkFollows="1" w:id="1321"/>
        <w:t>1321</w:t>
      </w:r>
      <w:r>
        <w:rPr>
          <w:rFonts w:ascii="David" w:hAnsi="David" w:cs="David"/>
          <w:color w:val="000000"/>
          <w:sz w:val="24"/>
          <w:szCs w:val="24"/>
          <w:rtl/>
        </w:rPr>
        <w:t>, ולפיכך חלה בהם טומאת משקים</w:t>
      </w:r>
      <w:r>
        <w:rPr>
          <w:rFonts w:ascii="David" w:hAnsi="David" w:cs="David"/>
          <w:color w:val="0000FF"/>
          <w:sz w:val="24"/>
          <w:szCs w:val="24"/>
          <w:vertAlign w:val="superscript"/>
          <w:rtl/>
        </w:rPr>
        <w:footnoteReference w:customMarkFollows="1" w:id="1322"/>
        <w:t>1322</w:t>
      </w:r>
      <w:r>
        <w:rPr>
          <w:rFonts w:ascii="David" w:hAnsi="David" w:cs="David"/>
          <w:color w:val="000000"/>
          <w:sz w:val="24"/>
          <w:szCs w:val="24"/>
          <w:rtl/>
        </w:rPr>
        <w:t>. ויש שכתבו שהטעם שמי חטאת הפסולים מטמאים בטומאת משקים, הוא משום שכלל הוא בידינו: כל שסופו לטמא טומאה חמורה אינו צריך הכשר*</w:t>
      </w:r>
      <w:r>
        <w:rPr>
          <w:rFonts w:ascii="David" w:hAnsi="David" w:cs="David"/>
          <w:color w:val="0000FF"/>
          <w:sz w:val="24"/>
          <w:szCs w:val="24"/>
          <w:vertAlign w:val="superscript"/>
          <w:rtl/>
        </w:rPr>
        <w:footnoteReference w:customMarkFollows="1" w:id="1323"/>
        <w:t>1323</w:t>
      </w:r>
      <w:r>
        <w:rPr>
          <w:rFonts w:ascii="David" w:hAnsi="David" w:cs="David"/>
          <w:color w:val="000000"/>
          <w:sz w:val="24"/>
          <w:szCs w:val="24"/>
          <w:rtl/>
        </w:rPr>
        <w:t xml:space="preserve"> - כלומר, אינו צריך הכשר מים ומגע שרץ כדי שיטמא</w:t>
      </w:r>
      <w:r>
        <w:rPr>
          <w:rFonts w:ascii="David" w:hAnsi="David" w:cs="David"/>
          <w:color w:val="0000FF"/>
          <w:sz w:val="24"/>
          <w:szCs w:val="24"/>
          <w:vertAlign w:val="superscript"/>
          <w:rtl/>
        </w:rPr>
        <w:footnoteReference w:customMarkFollows="1" w:id="1324"/>
        <w:t>1324</w:t>
      </w:r>
      <w:r>
        <w:rPr>
          <w:rFonts w:ascii="David" w:hAnsi="David" w:cs="David"/>
          <w:color w:val="000000"/>
          <w:sz w:val="24"/>
          <w:szCs w:val="24"/>
          <w:rtl/>
        </w:rPr>
        <w:t>, שעשו אותו כמי שנגע בשרץ</w:t>
      </w:r>
      <w:r>
        <w:rPr>
          <w:rFonts w:ascii="David" w:hAnsi="David" w:cs="David"/>
          <w:color w:val="0000FF"/>
          <w:sz w:val="24"/>
          <w:szCs w:val="24"/>
          <w:vertAlign w:val="superscript"/>
          <w:rtl/>
        </w:rPr>
        <w:footnoteReference w:customMarkFollows="1" w:id="1325"/>
        <w:t>1325</w:t>
      </w:r>
      <w:r>
        <w:rPr>
          <w:rFonts w:ascii="David" w:hAnsi="David" w:cs="David"/>
          <w:color w:val="000000"/>
          <w:sz w:val="24"/>
          <w:szCs w:val="24"/>
          <w:rtl/>
        </w:rPr>
        <w:t xml:space="preserve"> - והואיל ומתחילה היו ראויים לטמא טומאה חמורה של מי חטאת, חלה עליהם טומאת משקים, ולפיכך אף משנפסלו להזאה ופרחה מהם הטומאה החמורה, לא פרחה מהם טומאת משקים</w:t>
      </w:r>
      <w:r>
        <w:rPr>
          <w:rFonts w:ascii="David" w:hAnsi="David" w:cs="David"/>
          <w:color w:val="0000FF"/>
          <w:sz w:val="24"/>
          <w:szCs w:val="24"/>
          <w:vertAlign w:val="superscript"/>
          <w:rtl/>
        </w:rPr>
        <w:footnoteReference w:customMarkFollows="1" w:id="1326"/>
        <w:t>1326</w:t>
      </w:r>
      <w:r>
        <w:rPr>
          <w:rFonts w:ascii="David" w:hAnsi="David" w:cs="David"/>
          <w:color w:val="000000"/>
          <w:sz w:val="24"/>
          <w:szCs w:val="24"/>
          <w:rtl/>
        </w:rPr>
        <w:t xml:space="preserve">. </w:t>
      </w:r>
    </w:p>
    <w:p w14:paraId="3FA63BF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על מי חטאת שנפסלו, שהם מטמאים כלים לחטאת, כדין שאר משקים הטמאים לחטאת, עי' לעיל: פסולם מחמת טומאה</w:t>
      </w:r>
      <w:r>
        <w:rPr>
          <w:rFonts w:ascii="David" w:hAnsi="David" w:cs="David"/>
          <w:color w:val="0000FF"/>
          <w:sz w:val="24"/>
          <w:szCs w:val="24"/>
          <w:vertAlign w:val="superscript"/>
          <w:rtl/>
        </w:rPr>
        <w:footnoteReference w:customMarkFollows="1" w:id="1327"/>
        <w:t>1327</w:t>
      </w:r>
      <w:r>
        <w:rPr>
          <w:rFonts w:ascii="David" w:hAnsi="David" w:cs="David"/>
          <w:color w:val="000000"/>
          <w:sz w:val="24"/>
          <w:szCs w:val="24"/>
          <w:rtl/>
        </w:rPr>
        <w:t xml:space="preserve">. </w:t>
      </w:r>
    </w:p>
    <w:p w14:paraId="6756B237"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[בתערובת מים פסולים]</w:t>
      </w:r>
    </w:p>
    <w:p w14:paraId="03FFD92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שנתערבו בהם מי מעין* - שנפלו מאליהם, ולא מילאם אדם לשם קידוש</w:t>
      </w:r>
      <w:r>
        <w:rPr>
          <w:rFonts w:ascii="David" w:hAnsi="David" w:cs="David"/>
          <w:color w:val="0000FF"/>
          <w:sz w:val="24"/>
          <w:szCs w:val="24"/>
          <w:vertAlign w:val="superscript"/>
          <w:rtl/>
        </w:rPr>
        <w:footnoteReference w:customMarkFollows="1" w:id="1328"/>
        <w:t>1328</w:t>
      </w:r>
      <w:r>
        <w:rPr>
          <w:rFonts w:ascii="David" w:hAnsi="David" w:cs="David"/>
          <w:color w:val="000000"/>
          <w:sz w:val="24"/>
          <w:szCs w:val="24"/>
          <w:rtl/>
        </w:rPr>
        <w:t xml:space="preserve"> - או מי מקוה* או מי פירות, אם רוב המים פסולים, אינם מטמאים, ואפילו במשא*</w:t>
      </w:r>
      <w:r>
        <w:rPr>
          <w:rFonts w:ascii="David" w:hAnsi="David" w:cs="David"/>
          <w:color w:val="0000FF"/>
          <w:sz w:val="24"/>
          <w:szCs w:val="24"/>
          <w:vertAlign w:val="superscript"/>
          <w:rtl/>
        </w:rPr>
        <w:footnoteReference w:customMarkFollows="1" w:id="1329"/>
        <w:t>1329</w:t>
      </w:r>
      <w:r>
        <w:rPr>
          <w:rFonts w:ascii="David" w:hAnsi="David" w:cs="David"/>
          <w:color w:val="000000"/>
          <w:sz w:val="24"/>
          <w:szCs w:val="24"/>
          <w:rtl/>
        </w:rPr>
        <w:t>, וביארו אחרונים, שאינו חשוב כנושא מים כשרים בתוך התערובת</w:t>
      </w:r>
      <w:r>
        <w:rPr>
          <w:rFonts w:ascii="David" w:hAnsi="David" w:cs="David"/>
          <w:color w:val="0000FF"/>
          <w:sz w:val="24"/>
          <w:szCs w:val="24"/>
          <w:vertAlign w:val="superscript"/>
          <w:rtl/>
        </w:rPr>
        <w:footnoteReference w:customMarkFollows="1" w:id="1330"/>
        <w:t>1330</w:t>
      </w:r>
      <w:r>
        <w:rPr>
          <w:rFonts w:ascii="David" w:hAnsi="David" w:cs="David"/>
          <w:color w:val="000000"/>
          <w:sz w:val="24"/>
          <w:szCs w:val="24"/>
          <w:rtl/>
        </w:rPr>
        <w:t>, לפי שהמים הכשרים בטלו ברוב, והם חשובים כמי שאינם</w:t>
      </w:r>
      <w:r>
        <w:rPr>
          <w:rFonts w:ascii="David" w:hAnsi="David" w:cs="David"/>
          <w:color w:val="0000FF"/>
          <w:sz w:val="24"/>
          <w:szCs w:val="24"/>
          <w:vertAlign w:val="superscript"/>
          <w:rtl/>
        </w:rPr>
        <w:footnoteReference w:customMarkFollows="1" w:id="1331"/>
        <w:t>1331</w:t>
      </w:r>
      <w:r>
        <w:rPr>
          <w:rFonts w:ascii="David" w:hAnsi="David" w:cs="David"/>
          <w:color w:val="000000"/>
          <w:sz w:val="24"/>
          <w:szCs w:val="24"/>
          <w:rtl/>
        </w:rPr>
        <w:t>. ואם אין בהם רוב מים פסולים, נחלקו ראשונים ואחרונים בדינם: א) יש מן הראשונים שכתבו, שהם מטמאים טומאת מי חטאת מן התורה, אף על פי שהמים נפסלו להזאה</w:t>
      </w:r>
      <w:r>
        <w:rPr>
          <w:rFonts w:ascii="David" w:hAnsi="David" w:cs="David"/>
          <w:color w:val="0000FF"/>
          <w:sz w:val="24"/>
          <w:szCs w:val="24"/>
          <w:vertAlign w:val="superscript"/>
          <w:rtl/>
        </w:rPr>
        <w:footnoteReference w:customMarkFollows="1" w:id="1332"/>
        <w:t>1332</w:t>
      </w:r>
      <w:r>
        <w:rPr>
          <w:rFonts w:ascii="David" w:hAnsi="David" w:cs="David"/>
          <w:color w:val="000000"/>
          <w:sz w:val="24"/>
          <w:szCs w:val="24"/>
          <w:rtl/>
        </w:rPr>
        <w:t xml:space="preserve"> - ומים פסולים אינם מטמאים מן התורה, לדעתם</w:t>
      </w:r>
      <w:r>
        <w:rPr>
          <w:rFonts w:ascii="David" w:hAnsi="David" w:cs="David"/>
          <w:color w:val="0000FF"/>
          <w:sz w:val="24"/>
          <w:szCs w:val="24"/>
          <w:vertAlign w:val="superscript"/>
          <w:rtl/>
        </w:rPr>
        <w:footnoteReference w:customMarkFollows="1" w:id="1333"/>
        <w:t>1333</w:t>
      </w:r>
      <w:r>
        <w:rPr>
          <w:rFonts w:ascii="David" w:hAnsi="David" w:cs="David"/>
          <w:color w:val="000000"/>
          <w:sz w:val="24"/>
          <w:szCs w:val="24"/>
          <w:rtl/>
        </w:rPr>
        <w:t xml:space="preserve"> - לפי שאין בהם פסול הגוף, אלא משום תערובת שבהם</w:t>
      </w:r>
      <w:r>
        <w:rPr>
          <w:rFonts w:ascii="David" w:hAnsi="David" w:cs="David"/>
          <w:color w:val="0000FF"/>
          <w:sz w:val="24"/>
          <w:szCs w:val="24"/>
          <w:vertAlign w:val="superscript"/>
          <w:rtl/>
        </w:rPr>
        <w:footnoteReference w:customMarkFollows="1" w:id="1334"/>
        <w:t>1334</w:t>
      </w:r>
      <w:r>
        <w:rPr>
          <w:rFonts w:ascii="David" w:hAnsi="David" w:cs="David"/>
          <w:color w:val="000000"/>
          <w:sz w:val="24"/>
          <w:szCs w:val="24"/>
          <w:rtl/>
        </w:rPr>
        <w:t>, ולדעתם זהו ששנינו בתוספתא, שמי חטאת שנפלו לתוכם מי מעיין ומי מקוה ומי פירות, אם יש בהם רוב מי חטאת, או מחצה על מחצה, מטמאים במשא</w:t>
      </w:r>
      <w:r>
        <w:rPr>
          <w:rFonts w:ascii="David" w:hAnsi="David" w:cs="David"/>
          <w:color w:val="0000FF"/>
          <w:sz w:val="24"/>
          <w:szCs w:val="24"/>
          <w:vertAlign w:val="superscript"/>
          <w:rtl/>
        </w:rPr>
        <w:footnoteReference w:customMarkFollows="1" w:id="1335"/>
        <w:t>1335</w:t>
      </w:r>
      <w:r>
        <w:rPr>
          <w:rFonts w:ascii="David" w:hAnsi="David" w:cs="David"/>
          <w:color w:val="000000"/>
          <w:sz w:val="24"/>
          <w:szCs w:val="24"/>
          <w:rtl/>
        </w:rPr>
        <w:t>, על הסוברים שמטעם אחר הם מטמאים מן התורה, עי' לעיל</w:t>
      </w:r>
      <w:r>
        <w:rPr>
          <w:rFonts w:ascii="David" w:hAnsi="David" w:cs="David"/>
          <w:color w:val="0000FF"/>
          <w:sz w:val="24"/>
          <w:szCs w:val="24"/>
          <w:vertAlign w:val="superscript"/>
          <w:rtl/>
        </w:rPr>
        <w:footnoteReference w:customMarkFollows="1" w:id="1336"/>
        <w:t>1336</w:t>
      </w:r>
      <w:r>
        <w:rPr>
          <w:rFonts w:ascii="David" w:hAnsi="David" w:cs="David"/>
          <w:color w:val="000000"/>
          <w:sz w:val="24"/>
          <w:szCs w:val="24"/>
          <w:rtl/>
        </w:rPr>
        <w:t>. ב) ויש שכתבו, שחלוקה טומאת מגע* מטומאת משא, שבמשא הם מטמאים כיון שהוא נושא את כל המים, ויש בהם שיעור מים כשרים, אבל לא במגע</w:t>
      </w:r>
      <w:r>
        <w:rPr>
          <w:rFonts w:ascii="David" w:hAnsi="David" w:cs="David"/>
          <w:color w:val="0000FF"/>
          <w:sz w:val="24"/>
          <w:szCs w:val="24"/>
          <w:vertAlign w:val="superscript"/>
          <w:rtl/>
        </w:rPr>
        <w:footnoteReference w:customMarkFollows="1" w:id="1337"/>
        <w:t>1337</w:t>
      </w:r>
      <w:r>
        <w:rPr>
          <w:rFonts w:ascii="David" w:hAnsi="David" w:cs="David"/>
          <w:color w:val="000000"/>
          <w:sz w:val="24"/>
          <w:szCs w:val="24"/>
          <w:rtl/>
        </w:rPr>
        <w:t>, אלא שכשהאדם נוגע במים יש לטמאותו מדין משא, כיון שהוא מסיט את המים</w:t>
      </w:r>
      <w:r>
        <w:rPr>
          <w:rFonts w:ascii="David" w:hAnsi="David" w:cs="David"/>
          <w:color w:val="0000FF"/>
          <w:sz w:val="24"/>
          <w:szCs w:val="24"/>
          <w:vertAlign w:val="superscript"/>
          <w:rtl/>
        </w:rPr>
        <w:footnoteReference w:customMarkFollows="1" w:id="1338"/>
        <w:t>1338</w:t>
      </w:r>
      <w:r>
        <w:rPr>
          <w:rFonts w:ascii="David" w:hAnsi="David" w:cs="David"/>
          <w:color w:val="000000"/>
          <w:sz w:val="24"/>
          <w:szCs w:val="24"/>
          <w:rtl/>
        </w:rPr>
        <w:t>, ויש שכתבו שמגע בתערובת אינו מטמא מדין משא, שמא לא הסיט אלא את הפסולים ולא את הכשרים, ותולים להקל</w:t>
      </w:r>
      <w:r>
        <w:rPr>
          <w:rFonts w:ascii="David" w:hAnsi="David" w:cs="David"/>
          <w:color w:val="0000FF"/>
          <w:sz w:val="24"/>
          <w:szCs w:val="24"/>
          <w:vertAlign w:val="superscript"/>
          <w:rtl/>
        </w:rPr>
        <w:footnoteReference w:customMarkFollows="1" w:id="1339"/>
        <w:t>1339</w:t>
      </w:r>
      <w:r>
        <w:rPr>
          <w:rFonts w:ascii="David" w:hAnsi="David" w:cs="David"/>
          <w:color w:val="000000"/>
          <w:sz w:val="24"/>
          <w:szCs w:val="24"/>
          <w:rtl/>
        </w:rPr>
        <w:t xml:space="preserve">. ג) ויש מן הראשונים והאחרונים סוברים שאף על פי שאין הפסול אלא משום תערובת, הואיל ונפסלו להזאה אינם מטמאים טומאת מי </w:t>
      </w:r>
    </w:p>
    <w:p w14:paraId="09395EB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חטאת</w:t>
      </w:r>
      <w:r>
        <w:rPr>
          <w:rFonts w:ascii="David" w:hAnsi="David" w:cs="David"/>
          <w:color w:val="0000FF"/>
          <w:sz w:val="24"/>
          <w:szCs w:val="24"/>
          <w:vertAlign w:val="superscript"/>
          <w:rtl/>
        </w:rPr>
        <w:footnoteReference w:customMarkFollows="1" w:id="1340"/>
        <w:t>1340</w:t>
      </w:r>
      <w:r>
        <w:rPr>
          <w:rFonts w:ascii="David" w:hAnsi="David" w:cs="David"/>
          <w:color w:val="000000"/>
          <w:sz w:val="24"/>
          <w:szCs w:val="24"/>
          <w:rtl/>
        </w:rPr>
        <w:t>, מן התורה</w:t>
      </w:r>
      <w:r>
        <w:rPr>
          <w:rFonts w:ascii="David" w:hAnsi="David" w:cs="David"/>
          <w:color w:val="0000FF"/>
          <w:sz w:val="24"/>
          <w:szCs w:val="24"/>
          <w:vertAlign w:val="superscript"/>
          <w:rtl/>
        </w:rPr>
        <w:footnoteReference w:customMarkFollows="1" w:id="1341"/>
        <w:t>1341</w:t>
      </w:r>
      <w:r>
        <w:rPr>
          <w:rFonts w:ascii="David" w:hAnsi="David" w:cs="David"/>
          <w:color w:val="000000"/>
          <w:sz w:val="24"/>
          <w:szCs w:val="24"/>
          <w:rtl/>
        </w:rPr>
        <w:t>, ומהם שפירשו שמטעם זה מי חטאת שהשיקם למי המקוה, פוקעת טומאתם</w:t>
      </w:r>
      <w:r>
        <w:rPr>
          <w:rFonts w:ascii="David" w:hAnsi="David" w:cs="David"/>
          <w:color w:val="0000FF"/>
          <w:sz w:val="24"/>
          <w:szCs w:val="24"/>
          <w:vertAlign w:val="superscript"/>
          <w:rtl/>
        </w:rPr>
        <w:footnoteReference w:customMarkFollows="1" w:id="1342"/>
        <w:t>1342</w:t>
      </w:r>
      <w:r>
        <w:rPr>
          <w:rFonts w:ascii="David" w:hAnsi="David" w:cs="David"/>
          <w:color w:val="000000"/>
          <w:sz w:val="24"/>
          <w:szCs w:val="24"/>
          <w:rtl/>
        </w:rPr>
        <w:t xml:space="preserve"> - אף על פי שלדעתם מדין השקה* אין לטהרם</w:t>
      </w:r>
      <w:r>
        <w:rPr>
          <w:rFonts w:ascii="David" w:hAnsi="David" w:cs="David"/>
          <w:color w:val="0000FF"/>
          <w:sz w:val="24"/>
          <w:szCs w:val="24"/>
          <w:vertAlign w:val="superscript"/>
          <w:rtl/>
        </w:rPr>
        <w:footnoteReference w:customMarkFollows="1" w:id="1343"/>
        <w:t>1343</w:t>
      </w:r>
      <w:r>
        <w:rPr>
          <w:rFonts w:ascii="David" w:hAnsi="David" w:cs="David"/>
          <w:color w:val="000000"/>
          <w:sz w:val="24"/>
          <w:szCs w:val="24"/>
          <w:rtl/>
        </w:rPr>
        <w:t xml:space="preserve"> - שעל ידי השקה אי אפשר שלא יתערב בהם כל שהוא ממי המקוה, ונפסלים המים להזאה, ופרחה מהם טומאתם מן התורה</w:t>
      </w:r>
      <w:r>
        <w:rPr>
          <w:rFonts w:ascii="David" w:hAnsi="David" w:cs="David"/>
          <w:color w:val="0000FF"/>
          <w:sz w:val="24"/>
          <w:szCs w:val="24"/>
          <w:vertAlign w:val="superscript"/>
          <w:rtl/>
        </w:rPr>
        <w:footnoteReference w:customMarkFollows="1" w:id="1344"/>
        <w:t>1344</w:t>
      </w:r>
      <w:r>
        <w:rPr>
          <w:rFonts w:ascii="David" w:hAnsi="David" w:cs="David"/>
          <w:color w:val="000000"/>
          <w:sz w:val="24"/>
          <w:szCs w:val="24"/>
          <w:rtl/>
        </w:rPr>
        <w:t xml:space="preserve">. </w:t>
      </w:r>
    </w:p>
    <w:p w14:paraId="78F468C0"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[שגיבלם בטיט]</w:t>
      </w:r>
    </w:p>
    <w:p w14:paraId="536383C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שנפסלו, וגיבלם בטיט, נחלקו תנאים בדינם: לדעת חכמים מטמאים טומאת מי חטאת</w:t>
      </w:r>
      <w:r>
        <w:rPr>
          <w:rFonts w:ascii="David" w:hAnsi="David" w:cs="David"/>
          <w:color w:val="0000FF"/>
          <w:sz w:val="24"/>
          <w:szCs w:val="24"/>
          <w:vertAlign w:val="superscript"/>
          <w:rtl/>
        </w:rPr>
        <w:footnoteReference w:customMarkFollows="1" w:id="1345"/>
        <w:t>1345</w:t>
      </w:r>
      <w:r>
        <w:rPr>
          <w:rFonts w:ascii="David" w:hAnsi="David" w:cs="David"/>
          <w:color w:val="000000"/>
          <w:sz w:val="24"/>
          <w:szCs w:val="24"/>
          <w:rtl/>
        </w:rPr>
        <w:t>, ואין אומרים שעל ידי הטיט בטלו ונעשו כעפר בעלמא</w:t>
      </w:r>
      <w:r>
        <w:rPr>
          <w:rFonts w:ascii="David" w:hAnsi="David" w:cs="David"/>
          <w:color w:val="0000FF"/>
          <w:sz w:val="24"/>
          <w:szCs w:val="24"/>
          <w:vertAlign w:val="superscript"/>
          <w:rtl/>
        </w:rPr>
        <w:footnoteReference w:customMarkFollows="1" w:id="1346"/>
        <w:t>1346</w:t>
      </w:r>
      <w:r>
        <w:rPr>
          <w:rFonts w:ascii="David" w:hAnsi="David" w:cs="David"/>
          <w:color w:val="000000"/>
          <w:sz w:val="24"/>
          <w:szCs w:val="24"/>
          <w:rtl/>
        </w:rPr>
        <w:t xml:space="preserve"> - על כך שלדעתם אסור לגבלם בטיט, כדי שלא יבואו בהם לידי תקלה, עי' לעיל</w:t>
      </w:r>
      <w:r>
        <w:rPr>
          <w:rFonts w:ascii="David" w:hAnsi="David" w:cs="David"/>
          <w:color w:val="0000FF"/>
          <w:sz w:val="24"/>
          <w:szCs w:val="24"/>
          <w:vertAlign w:val="superscript"/>
          <w:rtl/>
        </w:rPr>
        <w:footnoteReference w:customMarkFollows="1" w:id="1347"/>
        <w:t>1347</w:t>
      </w:r>
      <w:r>
        <w:rPr>
          <w:rFonts w:ascii="David" w:hAnsi="David" w:cs="David"/>
          <w:color w:val="000000"/>
          <w:sz w:val="24"/>
          <w:szCs w:val="24"/>
          <w:rtl/>
        </w:rPr>
        <w:t xml:space="preserve"> - שנאמר: חטאת היא</w:t>
      </w:r>
      <w:r>
        <w:rPr>
          <w:rFonts w:ascii="David" w:hAnsi="David" w:cs="David"/>
          <w:color w:val="0000FF"/>
          <w:sz w:val="24"/>
          <w:szCs w:val="24"/>
          <w:vertAlign w:val="superscript"/>
          <w:rtl/>
        </w:rPr>
        <w:footnoteReference w:customMarkFollows="1" w:id="1348"/>
        <w:t>1348</w:t>
      </w:r>
      <w:r>
        <w:rPr>
          <w:rFonts w:ascii="David" w:hAnsi="David" w:cs="David"/>
          <w:color w:val="000000"/>
          <w:sz w:val="24"/>
          <w:szCs w:val="24"/>
          <w:rtl/>
        </w:rPr>
        <w:t>, משמע, בהווייתה תהא</w:t>
      </w:r>
      <w:r>
        <w:rPr>
          <w:rFonts w:ascii="David" w:hAnsi="David" w:cs="David"/>
          <w:color w:val="0000FF"/>
          <w:sz w:val="24"/>
          <w:szCs w:val="24"/>
          <w:vertAlign w:val="superscript"/>
          <w:rtl/>
        </w:rPr>
        <w:footnoteReference w:customMarkFollows="1" w:id="1349"/>
        <w:t>1349</w:t>
      </w:r>
      <w:r>
        <w:rPr>
          <w:rFonts w:ascii="David" w:hAnsi="David" w:cs="David"/>
          <w:color w:val="000000"/>
          <w:sz w:val="24"/>
          <w:szCs w:val="24"/>
          <w:rtl/>
        </w:rPr>
        <w:t>, ללמד שאף אם נתערבו המים בעפר דינם כדין החטאת</w:t>
      </w:r>
      <w:r>
        <w:rPr>
          <w:rFonts w:ascii="David" w:hAnsi="David" w:cs="David"/>
          <w:color w:val="0000FF"/>
          <w:sz w:val="24"/>
          <w:szCs w:val="24"/>
          <w:vertAlign w:val="superscript"/>
          <w:rtl/>
        </w:rPr>
        <w:footnoteReference w:customMarkFollows="1" w:id="1350"/>
        <w:t>1350</w:t>
      </w:r>
      <w:r>
        <w:rPr>
          <w:rFonts w:ascii="David" w:hAnsi="David" w:cs="David"/>
          <w:color w:val="000000"/>
          <w:sz w:val="24"/>
          <w:szCs w:val="24"/>
          <w:rtl/>
        </w:rPr>
        <w:t>, ויש מן האחרונים שכתבו, שאף על פי שגיבלם בטיט וביטלם שם, ונתבטלו מתורת מים על ידי שינוי מעשה שעשה בהם</w:t>
      </w:r>
      <w:r>
        <w:rPr>
          <w:rFonts w:ascii="David" w:hAnsi="David" w:cs="David"/>
          <w:color w:val="0000FF"/>
          <w:sz w:val="24"/>
          <w:szCs w:val="24"/>
          <w:vertAlign w:val="superscript"/>
          <w:rtl/>
        </w:rPr>
        <w:footnoteReference w:customMarkFollows="1" w:id="1351"/>
        <w:t>1351</w:t>
      </w:r>
      <w:r>
        <w:rPr>
          <w:rFonts w:ascii="David" w:hAnsi="David" w:cs="David"/>
          <w:color w:val="000000"/>
          <w:sz w:val="24"/>
          <w:szCs w:val="24"/>
          <w:rtl/>
        </w:rPr>
        <w:t>, הרי הם מטמאים מדבריהם, שגזרו בהם טומאה, כשם שגזרו על שאר מי חטאת שנפסלו</w:t>
      </w:r>
      <w:r>
        <w:rPr>
          <w:rFonts w:ascii="David" w:hAnsi="David" w:cs="David"/>
          <w:color w:val="0000FF"/>
          <w:sz w:val="24"/>
          <w:szCs w:val="24"/>
          <w:vertAlign w:val="superscript"/>
          <w:rtl/>
        </w:rPr>
        <w:footnoteReference w:customMarkFollows="1" w:id="1352"/>
        <w:t>1352</w:t>
      </w:r>
      <w:r>
        <w:rPr>
          <w:rFonts w:ascii="David" w:hAnsi="David" w:cs="David"/>
          <w:color w:val="000000"/>
          <w:sz w:val="24"/>
          <w:szCs w:val="24"/>
          <w:rtl/>
        </w:rPr>
        <w:t>. ולדעת ר' יהודה, מי חטאת שגיבלם בטיט, בטלו</w:t>
      </w:r>
      <w:r>
        <w:rPr>
          <w:rFonts w:ascii="David" w:hAnsi="David" w:cs="David"/>
          <w:color w:val="0000FF"/>
          <w:sz w:val="24"/>
          <w:szCs w:val="24"/>
          <w:vertAlign w:val="superscript"/>
          <w:rtl/>
        </w:rPr>
        <w:footnoteReference w:customMarkFollows="1" w:id="1353"/>
        <w:t>1353</w:t>
      </w:r>
      <w:r>
        <w:rPr>
          <w:rFonts w:ascii="David" w:hAnsi="David" w:cs="David"/>
          <w:color w:val="000000"/>
          <w:sz w:val="24"/>
          <w:szCs w:val="24"/>
          <w:rtl/>
        </w:rPr>
        <w:t>, ואינם מטמאים</w:t>
      </w:r>
      <w:r>
        <w:rPr>
          <w:rFonts w:ascii="David" w:hAnsi="David" w:cs="David"/>
          <w:color w:val="0000FF"/>
          <w:sz w:val="24"/>
          <w:szCs w:val="24"/>
          <w:vertAlign w:val="superscript"/>
          <w:rtl/>
        </w:rPr>
        <w:footnoteReference w:customMarkFollows="1" w:id="1354"/>
        <w:t>1354</w:t>
      </w:r>
      <w:r>
        <w:rPr>
          <w:rFonts w:ascii="David" w:hAnsi="David" w:cs="David"/>
          <w:color w:val="000000"/>
          <w:sz w:val="24"/>
          <w:szCs w:val="24"/>
          <w:rtl/>
        </w:rPr>
        <w:t>, שהם נעשים טפלים לטיט</w:t>
      </w:r>
      <w:r>
        <w:rPr>
          <w:rFonts w:ascii="David" w:hAnsi="David" w:cs="David"/>
          <w:color w:val="0000FF"/>
          <w:sz w:val="24"/>
          <w:szCs w:val="24"/>
          <w:vertAlign w:val="superscript"/>
          <w:rtl/>
        </w:rPr>
        <w:footnoteReference w:customMarkFollows="1" w:id="1355"/>
        <w:t>1355</w:t>
      </w:r>
      <w:r>
        <w:rPr>
          <w:rFonts w:ascii="David" w:hAnsi="David" w:cs="David"/>
          <w:color w:val="000000"/>
          <w:sz w:val="24"/>
          <w:szCs w:val="24"/>
          <w:rtl/>
        </w:rPr>
        <w:t>, וחשובים כעפר בעלמא</w:t>
      </w:r>
      <w:r>
        <w:rPr>
          <w:rFonts w:ascii="David" w:hAnsi="David" w:cs="David"/>
          <w:color w:val="0000FF"/>
          <w:sz w:val="24"/>
          <w:szCs w:val="24"/>
          <w:vertAlign w:val="superscript"/>
          <w:rtl/>
        </w:rPr>
        <w:footnoteReference w:customMarkFollows="1" w:id="1356"/>
        <w:t>1356</w:t>
      </w:r>
      <w:r>
        <w:rPr>
          <w:rFonts w:ascii="David" w:hAnsi="David" w:cs="David"/>
          <w:color w:val="000000"/>
          <w:sz w:val="24"/>
          <w:szCs w:val="24"/>
          <w:rtl/>
        </w:rPr>
        <w:t>, ואפילו מדרבנן אינם מטמאים, ואינם דומים למים פסולים המטמאים מדבריהם</w:t>
      </w:r>
      <w:r>
        <w:rPr>
          <w:rFonts w:ascii="David" w:hAnsi="David" w:cs="David"/>
          <w:color w:val="0000FF"/>
          <w:sz w:val="24"/>
          <w:szCs w:val="24"/>
          <w:vertAlign w:val="superscript"/>
          <w:rtl/>
        </w:rPr>
        <w:footnoteReference w:customMarkFollows="1" w:id="1357"/>
        <w:t>1357</w:t>
      </w:r>
      <w:r>
        <w:rPr>
          <w:rFonts w:ascii="David" w:hAnsi="David" w:cs="David"/>
          <w:color w:val="000000"/>
          <w:sz w:val="24"/>
          <w:szCs w:val="24"/>
          <w:rtl/>
        </w:rPr>
        <w:t>, שמים שגיבלם בטיט בטלו מתורת מים</w:t>
      </w:r>
      <w:r>
        <w:rPr>
          <w:rFonts w:ascii="David" w:hAnsi="David" w:cs="David"/>
          <w:color w:val="0000FF"/>
          <w:sz w:val="24"/>
          <w:szCs w:val="24"/>
          <w:vertAlign w:val="superscript"/>
          <w:rtl/>
        </w:rPr>
        <w:footnoteReference w:customMarkFollows="1" w:id="1358"/>
        <w:t>1358</w:t>
      </w:r>
      <w:r>
        <w:rPr>
          <w:rFonts w:ascii="David" w:hAnsi="David" w:cs="David"/>
          <w:color w:val="000000"/>
          <w:sz w:val="24"/>
          <w:szCs w:val="24"/>
          <w:rtl/>
        </w:rPr>
        <w:t>. והלכה כחכמים</w:t>
      </w:r>
      <w:r>
        <w:rPr>
          <w:rFonts w:ascii="David" w:hAnsi="David" w:cs="David"/>
          <w:color w:val="0000FF"/>
          <w:sz w:val="24"/>
          <w:szCs w:val="24"/>
          <w:vertAlign w:val="superscript"/>
          <w:rtl/>
        </w:rPr>
        <w:footnoteReference w:customMarkFollows="1" w:id="1359"/>
        <w:t>1359</w:t>
      </w:r>
      <w:r>
        <w:rPr>
          <w:rFonts w:ascii="David" w:hAnsi="David" w:cs="David"/>
          <w:color w:val="000000"/>
          <w:sz w:val="24"/>
          <w:szCs w:val="24"/>
          <w:rtl/>
        </w:rPr>
        <w:t xml:space="preserve">. </w:t>
      </w:r>
    </w:p>
    <w:p w14:paraId="2BC2ACFA"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[ברוב טיט]</w:t>
      </w:r>
    </w:p>
    <w:p w14:paraId="6672C431"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היה רוב טיט ומיעוט מים, נחלקו אחרונים האם הם מטמאים ובאיזה אופן, לדעת חכמים שלא בטלו מחמת עצם גיבולם בטיט</w:t>
      </w:r>
      <w:r>
        <w:rPr>
          <w:rFonts w:ascii="David" w:hAnsi="David" w:cs="David"/>
          <w:color w:val="0000FF"/>
          <w:sz w:val="24"/>
          <w:szCs w:val="24"/>
          <w:vertAlign w:val="superscript"/>
          <w:rtl/>
        </w:rPr>
        <w:footnoteReference w:customMarkFollows="1" w:id="1360"/>
        <w:t>1360</w:t>
      </w:r>
      <w:r>
        <w:rPr>
          <w:rFonts w:ascii="David" w:hAnsi="David" w:cs="David"/>
          <w:color w:val="000000"/>
          <w:sz w:val="24"/>
          <w:szCs w:val="24"/>
          <w:rtl/>
        </w:rPr>
        <w:t>: יש מן האחרונים שכתבו שהמים בטלים ברוב ואינם מטמאים, כשם שכשנתערבו במים פסולים, אם הרוב מים פסולים אינם מטמאים</w:t>
      </w:r>
      <w:r>
        <w:rPr>
          <w:rFonts w:ascii="David" w:hAnsi="David" w:cs="David"/>
          <w:color w:val="0000FF"/>
          <w:sz w:val="24"/>
          <w:szCs w:val="24"/>
          <w:vertAlign w:val="superscript"/>
          <w:rtl/>
        </w:rPr>
        <w:footnoteReference w:customMarkFollows="1" w:id="1361"/>
        <w:t>1361</w:t>
      </w:r>
      <w:r>
        <w:rPr>
          <w:rFonts w:ascii="David" w:hAnsi="David" w:cs="David"/>
          <w:color w:val="000000"/>
          <w:sz w:val="24"/>
          <w:szCs w:val="24"/>
          <w:rtl/>
        </w:rPr>
        <w:t xml:space="preserve">, אלא אם כן מקצת מן המים לא נתערבו בטיט ועומדים בפני עצמם, וכיון </w:t>
      </w:r>
    </w:p>
    <w:p w14:paraId="5BDD6FA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שלא נתערבו מטמאים</w:t>
      </w:r>
      <w:r>
        <w:rPr>
          <w:rFonts w:ascii="David" w:hAnsi="David" w:cs="David"/>
          <w:color w:val="0000FF"/>
          <w:sz w:val="24"/>
          <w:szCs w:val="24"/>
          <w:vertAlign w:val="superscript"/>
          <w:rtl/>
        </w:rPr>
        <w:footnoteReference w:customMarkFollows="1" w:id="1362"/>
        <w:t>1362</w:t>
      </w:r>
      <w:r>
        <w:rPr>
          <w:rFonts w:ascii="David" w:hAnsi="David" w:cs="David"/>
          <w:color w:val="000000"/>
          <w:sz w:val="24"/>
          <w:szCs w:val="24"/>
          <w:rtl/>
        </w:rPr>
        <w:t>. ויש שכתבו בדעת ראשונים, שהם חולקים וסוברים שגילה הכתוב "חטאת היא" שאינם בטלים אפילו ברוב טיט</w:t>
      </w:r>
      <w:r>
        <w:rPr>
          <w:rFonts w:ascii="David" w:hAnsi="David" w:cs="David"/>
          <w:color w:val="0000FF"/>
          <w:sz w:val="24"/>
          <w:szCs w:val="24"/>
          <w:vertAlign w:val="superscript"/>
          <w:rtl/>
        </w:rPr>
        <w:footnoteReference w:customMarkFollows="1" w:id="1363"/>
        <w:t>1363</w:t>
      </w:r>
      <w:r>
        <w:rPr>
          <w:rFonts w:ascii="David" w:hAnsi="David" w:cs="David"/>
          <w:color w:val="000000"/>
          <w:sz w:val="24"/>
          <w:szCs w:val="24"/>
          <w:rtl/>
        </w:rPr>
        <w:t>. ויש מן האחרונים שכתבו, שאין המים בטלים ברוב טיט הואיל והוא מין בשאינו מינו</w:t>
      </w:r>
      <w:r>
        <w:rPr>
          <w:rFonts w:ascii="David" w:hAnsi="David" w:cs="David"/>
          <w:color w:val="0000FF"/>
          <w:sz w:val="24"/>
          <w:szCs w:val="24"/>
          <w:vertAlign w:val="superscript"/>
          <w:rtl/>
        </w:rPr>
        <w:footnoteReference w:customMarkFollows="1" w:id="1364"/>
        <w:t>1364</w:t>
      </w:r>
      <w:r>
        <w:rPr>
          <w:rFonts w:ascii="David" w:hAnsi="David" w:cs="David"/>
          <w:color w:val="000000"/>
          <w:sz w:val="24"/>
          <w:szCs w:val="24"/>
          <w:rtl/>
        </w:rPr>
        <w:t xml:space="preserve">. </w:t>
      </w:r>
    </w:p>
    <w:p w14:paraId="591244EB"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[שנעשית מצותם]</w:t>
      </w:r>
    </w:p>
    <w:p w14:paraId="2CEADBFD"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 חטאת שנעשתה מצותם, אינם מטמאים</w:t>
      </w:r>
      <w:r>
        <w:rPr>
          <w:rFonts w:ascii="David" w:hAnsi="David" w:cs="David"/>
          <w:color w:val="0000FF"/>
          <w:sz w:val="24"/>
          <w:szCs w:val="24"/>
          <w:vertAlign w:val="superscript"/>
          <w:rtl/>
        </w:rPr>
        <w:footnoteReference w:customMarkFollows="1" w:id="1365"/>
        <w:t>1365</w:t>
      </w:r>
      <w:r>
        <w:rPr>
          <w:rFonts w:ascii="David" w:hAnsi="David" w:cs="David"/>
          <w:color w:val="000000"/>
          <w:sz w:val="24"/>
          <w:szCs w:val="24"/>
          <w:rtl/>
        </w:rPr>
        <w:t>, ולכך אף על פי שבמקום שהיו מזים שם על רבים, היה על הקרקע הרבה מי חטאת, עד שהיו מחליקים בהם בני אדם, היו דורסים שם ולא נמנעים</w:t>
      </w:r>
      <w:r>
        <w:rPr>
          <w:rFonts w:ascii="David" w:hAnsi="David" w:cs="David"/>
          <w:color w:val="0000FF"/>
          <w:sz w:val="24"/>
          <w:szCs w:val="24"/>
          <w:vertAlign w:val="superscript"/>
          <w:rtl/>
        </w:rPr>
        <w:footnoteReference w:customMarkFollows="1" w:id="1366"/>
        <w:t>1366</w:t>
      </w:r>
      <w:r>
        <w:rPr>
          <w:rFonts w:ascii="David" w:hAnsi="David" w:cs="David"/>
          <w:color w:val="000000"/>
          <w:sz w:val="24"/>
          <w:szCs w:val="24"/>
          <w:rtl/>
        </w:rPr>
        <w:t>, ונכנסים למקדש</w:t>
      </w:r>
      <w:r>
        <w:rPr>
          <w:rFonts w:ascii="David" w:hAnsi="David" w:cs="David"/>
          <w:color w:val="0000FF"/>
          <w:sz w:val="24"/>
          <w:szCs w:val="24"/>
          <w:vertAlign w:val="superscript"/>
          <w:rtl/>
        </w:rPr>
        <w:footnoteReference w:customMarkFollows="1" w:id="1367"/>
        <w:t>1367</w:t>
      </w:r>
      <w:r>
        <w:rPr>
          <w:rFonts w:ascii="David" w:hAnsi="David" w:cs="David"/>
          <w:color w:val="000000"/>
          <w:sz w:val="24"/>
          <w:szCs w:val="24"/>
          <w:rtl/>
        </w:rPr>
        <w:t>, ואין חוששים שמא פסולים הם</w:t>
      </w:r>
      <w:r>
        <w:rPr>
          <w:rFonts w:ascii="David" w:hAnsi="David" w:cs="David"/>
          <w:color w:val="0000FF"/>
          <w:sz w:val="24"/>
          <w:szCs w:val="24"/>
          <w:vertAlign w:val="superscript"/>
          <w:rtl/>
        </w:rPr>
        <w:footnoteReference w:customMarkFollows="1" w:id="1368"/>
        <w:t>1368</w:t>
      </w:r>
      <w:r>
        <w:rPr>
          <w:rFonts w:ascii="David" w:hAnsi="David" w:cs="David"/>
          <w:color w:val="000000"/>
          <w:sz w:val="24"/>
          <w:szCs w:val="24"/>
          <w:rtl/>
        </w:rPr>
        <w:t>, ויש שפירשו הטעם, משום שרוב המים שיש שם אינם פסולים אלא נעשתה מצותם</w:t>
      </w:r>
      <w:r>
        <w:rPr>
          <w:rFonts w:ascii="David" w:hAnsi="David" w:cs="David"/>
          <w:color w:val="0000FF"/>
          <w:sz w:val="24"/>
          <w:szCs w:val="24"/>
          <w:vertAlign w:val="superscript"/>
          <w:rtl/>
        </w:rPr>
        <w:footnoteReference w:customMarkFollows="1" w:id="1369"/>
        <w:t>1369</w:t>
      </w:r>
      <w:r>
        <w:rPr>
          <w:rFonts w:ascii="David" w:hAnsi="David" w:cs="David"/>
          <w:color w:val="000000"/>
          <w:sz w:val="24"/>
          <w:szCs w:val="24"/>
          <w:rtl/>
        </w:rPr>
        <w:t>. ובטעם הדבר, יש שכתבו, שמן הכתוב "ומזה מי הנדה יכבס בגדיו והנגע במי הנדה יטמא"</w:t>
      </w:r>
      <w:r>
        <w:rPr>
          <w:rFonts w:ascii="David" w:hAnsi="David" w:cs="David"/>
          <w:color w:val="0000FF"/>
          <w:sz w:val="24"/>
          <w:szCs w:val="24"/>
          <w:vertAlign w:val="superscript"/>
          <w:rtl/>
        </w:rPr>
        <w:footnoteReference w:customMarkFollows="1" w:id="1370"/>
        <w:t>1370</w:t>
      </w:r>
      <w:r>
        <w:rPr>
          <w:rFonts w:ascii="David" w:hAnsi="David" w:cs="David"/>
          <w:color w:val="000000"/>
          <w:sz w:val="24"/>
          <w:szCs w:val="24"/>
          <w:rtl/>
        </w:rPr>
        <w:t>, משמע שאינם מטמאים אלא בשעה שחשובים מי נדה, היינו בשעת הזאה ולא לאחריה</w:t>
      </w:r>
      <w:r>
        <w:rPr>
          <w:rFonts w:ascii="David" w:hAnsi="David" w:cs="David"/>
          <w:color w:val="0000FF"/>
          <w:sz w:val="24"/>
          <w:szCs w:val="24"/>
          <w:vertAlign w:val="superscript"/>
          <w:rtl/>
        </w:rPr>
        <w:footnoteReference w:customMarkFollows="1" w:id="1371"/>
        <w:t>1371</w:t>
      </w:r>
      <w:r>
        <w:rPr>
          <w:rFonts w:ascii="David" w:hAnsi="David" w:cs="David"/>
          <w:color w:val="000000"/>
          <w:sz w:val="24"/>
          <w:szCs w:val="24"/>
          <w:rtl/>
        </w:rPr>
        <w:t>, ויש שכתבו הטעם, כיון שמשעת הזאתם נפסלו המים להזאה</w:t>
      </w:r>
      <w:r>
        <w:rPr>
          <w:rFonts w:ascii="David" w:hAnsi="David" w:cs="David"/>
          <w:color w:val="0000FF"/>
          <w:sz w:val="24"/>
          <w:szCs w:val="24"/>
          <w:vertAlign w:val="superscript"/>
          <w:rtl/>
        </w:rPr>
        <w:footnoteReference w:customMarkFollows="1" w:id="1372"/>
        <w:t>1372</w:t>
      </w:r>
      <w:r>
        <w:rPr>
          <w:rFonts w:ascii="David" w:hAnsi="David" w:cs="David"/>
          <w:color w:val="000000"/>
          <w:sz w:val="24"/>
          <w:szCs w:val="24"/>
          <w:rtl/>
        </w:rPr>
        <w:t xml:space="preserve"> - שאם היזה על הטמא, אינו יכול לאסוף אחר כך את המים שהיזה, ולהזות אותם על טמא אחר</w:t>
      </w:r>
      <w:r>
        <w:rPr>
          <w:rFonts w:ascii="David" w:hAnsi="David" w:cs="David"/>
          <w:color w:val="0000FF"/>
          <w:sz w:val="24"/>
          <w:szCs w:val="24"/>
          <w:vertAlign w:val="superscript"/>
          <w:rtl/>
        </w:rPr>
        <w:footnoteReference w:customMarkFollows="1" w:id="1373"/>
        <w:t>1373</w:t>
      </w:r>
      <w:r>
        <w:rPr>
          <w:rFonts w:ascii="David" w:hAnsi="David" w:cs="David"/>
          <w:color w:val="000000"/>
          <w:sz w:val="24"/>
          <w:szCs w:val="24"/>
          <w:rtl/>
        </w:rPr>
        <w:t xml:space="preserve"> - ולכך בטלה מעליהם תורת מי חטאת מאותה שעה</w:t>
      </w:r>
      <w:r>
        <w:rPr>
          <w:rFonts w:ascii="David" w:hAnsi="David" w:cs="David"/>
          <w:color w:val="0000FF"/>
          <w:sz w:val="24"/>
          <w:szCs w:val="24"/>
          <w:vertAlign w:val="superscript"/>
          <w:rtl/>
        </w:rPr>
        <w:footnoteReference w:customMarkFollows="1" w:id="1374"/>
        <w:t>1374</w:t>
      </w:r>
      <w:r>
        <w:rPr>
          <w:rFonts w:ascii="David" w:hAnsi="David" w:cs="David"/>
          <w:color w:val="000000"/>
          <w:sz w:val="24"/>
          <w:szCs w:val="24"/>
          <w:rtl/>
        </w:rPr>
        <w:t>, על הטעם שאינם מטמאים מדרבנן כדין שאר מים שנפסלו</w:t>
      </w:r>
      <w:r>
        <w:rPr>
          <w:rFonts w:ascii="David" w:hAnsi="David" w:cs="David"/>
          <w:color w:val="0000FF"/>
          <w:sz w:val="24"/>
          <w:szCs w:val="24"/>
          <w:vertAlign w:val="superscript"/>
          <w:rtl/>
        </w:rPr>
        <w:footnoteReference w:customMarkFollows="1" w:id="1375"/>
        <w:t>1375</w:t>
      </w:r>
      <w:r>
        <w:rPr>
          <w:rFonts w:ascii="David" w:hAnsi="David" w:cs="David"/>
          <w:color w:val="000000"/>
          <w:sz w:val="24"/>
          <w:szCs w:val="24"/>
          <w:rtl/>
        </w:rPr>
        <w:t>, עי' לעיל</w:t>
      </w:r>
      <w:r>
        <w:rPr>
          <w:rFonts w:ascii="David" w:hAnsi="David" w:cs="David"/>
          <w:color w:val="0000FF"/>
          <w:sz w:val="24"/>
          <w:szCs w:val="24"/>
          <w:vertAlign w:val="superscript"/>
          <w:rtl/>
        </w:rPr>
        <w:footnoteReference w:customMarkFollows="1" w:id="1376"/>
        <w:t>1376</w:t>
      </w:r>
      <w:r>
        <w:rPr>
          <w:rFonts w:ascii="David" w:hAnsi="David" w:cs="David"/>
          <w:color w:val="000000"/>
          <w:sz w:val="24"/>
          <w:szCs w:val="24"/>
          <w:rtl/>
        </w:rPr>
        <w:t>. בשם רבי ישמעאל שנינו: מי חטאת שעשו מצותם, בית שמאי מטהרים ובית הלל מטמאים</w:t>
      </w:r>
      <w:r>
        <w:rPr>
          <w:rFonts w:ascii="David" w:hAnsi="David" w:cs="David"/>
          <w:color w:val="0000FF"/>
          <w:sz w:val="24"/>
          <w:szCs w:val="24"/>
          <w:vertAlign w:val="superscript"/>
          <w:rtl/>
        </w:rPr>
        <w:footnoteReference w:customMarkFollows="1" w:id="1377"/>
        <w:t>1377</w:t>
      </w:r>
      <w:r>
        <w:rPr>
          <w:rFonts w:ascii="David" w:hAnsi="David" w:cs="David"/>
          <w:color w:val="000000"/>
          <w:sz w:val="24"/>
          <w:szCs w:val="24"/>
          <w:rtl/>
        </w:rPr>
        <w:t>. ונחלקו בזה: יש מן הראשונים שכתבו, שאותה ששנינו במשנה שאינם מטמאים, דעת בית שמאי היא</w:t>
      </w:r>
      <w:r>
        <w:rPr>
          <w:rFonts w:ascii="David" w:hAnsi="David" w:cs="David"/>
          <w:color w:val="0000FF"/>
          <w:sz w:val="24"/>
          <w:szCs w:val="24"/>
          <w:vertAlign w:val="superscript"/>
          <w:rtl/>
        </w:rPr>
        <w:footnoteReference w:customMarkFollows="1" w:id="1378"/>
        <w:t>1378</w:t>
      </w:r>
      <w:r>
        <w:rPr>
          <w:rFonts w:ascii="David" w:hAnsi="David" w:cs="David"/>
          <w:color w:val="000000"/>
          <w:sz w:val="24"/>
          <w:szCs w:val="24"/>
          <w:rtl/>
        </w:rPr>
        <w:t>, ויש מן האחרונים שכתבו, שר' ישמעאל חולק על המשנה, ולדעת המשנה לא נחלקו בית שמאי ובית הלל בדבר זה</w:t>
      </w:r>
      <w:r>
        <w:rPr>
          <w:rFonts w:ascii="David" w:hAnsi="David" w:cs="David"/>
          <w:color w:val="0000FF"/>
          <w:sz w:val="24"/>
          <w:szCs w:val="24"/>
          <w:vertAlign w:val="superscript"/>
          <w:rtl/>
        </w:rPr>
        <w:footnoteReference w:customMarkFollows="1" w:id="1379"/>
        <w:t>1379</w:t>
      </w:r>
      <w:r>
        <w:rPr>
          <w:rFonts w:ascii="David" w:hAnsi="David" w:cs="David"/>
          <w:color w:val="000000"/>
          <w:sz w:val="24"/>
          <w:szCs w:val="24"/>
          <w:rtl/>
        </w:rPr>
        <w:t>. ולהלכה כתבו ראשונים שמים שנעשתה מצותם אינם מטמאים</w:t>
      </w:r>
      <w:r>
        <w:rPr>
          <w:rFonts w:ascii="David" w:hAnsi="David" w:cs="David"/>
          <w:color w:val="0000FF"/>
          <w:sz w:val="24"/>
          <w:szCs w:val="24"/>
          <w:vertAlign w:val="superscript"/>
          <w:rtl/>
        </w:rPr>
        <w:footnoteReference w:customMarkFollows="1" w:id="1380"/>
        <w:t>1380</w:t>
      </w:r>
      <w:r>
        <w:rPr>
          <w:rFonts w:ascii="David" w:hAnsi="David" w:cs="David"/>
          <w:color w:val="000000"/>
          <w:sz w:val="24"/>
          <w:szCs w:val="24"/>
          <w:rtl/>
        </w:rPr>
        <w:t>, יש שכתבו שבזו הלכה כבית שמאי</w:t>
      </w:r>
      <w:r>
        <w:rPr>
          <w:rFonts w:ascii="David" w:hAnsi="David" w:cs="David"/>
          <w:color w:val="0000FF"/>
          <w:sz w:val="24"/>
          <w:szCs w:val="24"/>
          <w:vertAlign w:val="superscript"/>
          <w:rtl/>
        </w:rPr>
        <w:footnoteReference w:customMarkFollows="1" w:id="1381"/>
        <w:t>1381</w:t>
      </w:r>
      <w:r>
        <w:rPr>
          <w:rFonts w:ascii="David" w:hAnsi="David" w:cs="David"/>
          <w:color w:val="000000"/>
          <w:sz w:val="24"/>
          <w:szCs w:val="24"/>
          <w:rtl/>
        </w:rPr>
        <w:t>, ויש שכתבו שאין הלכה כר' ישמעאל הסובר שבית הלל חולקים בזה</w:t>
      </w:r>
      <w:r>
        <w:rPr>
          <w:rFonts w:ascii="David" w:hAnsi="David" w:cs="David"/>
          <w:color w:val="0000FF"/>
          <w:sz w:val="24"/>
          <w:szCs w:val="24"/>
          <w:vertAlign w:val="superscript"/>
          <w:rtl/>
        </w:rPr>
        <w:footnoteReference w:customMarkFollows="1" w:id="1382"/>
        <w:t>1382</w:t>
      </w:r>
      <w:r>
        <w:rPr>
          <w:rFonts w:ascii="David" w:hAnsi="David" w:cs="David"/>
          <w:color w:val="000000"/>
          <w:sz w:val="24"/>
          <w:szCs w:val="24"/>
          <w:rtl/>
        </w:rPr>
        <w:t>, לפי שכן היו עושים מעשה במקדש, שלא היו נמנעים מלדרוס על גבי מי הזאה</w:t>
      </w:r>
      <w:r>
        <w:rPr>
          <w:rFonts w:ascii="David" w:hAnsi="David" w:cs="David"/>
          <w:color w:val="0000FF"/>
          <w:sz w:val="24"/>
          <w:szCs w:val="24"/>
          <w:vertAlign w:val="superscript"/>
          <w:rtl/>
        </w:rPr>
        <w:footnoteReference w:customMarkFollows="1" w:id="1383"/>
        <w:t>1383</w:t>
      </w:r>
      <w:r>
        <w:rPr>
          <w:rFonts w:ascii="David" w:hAnsi="David" w:cs="David"/>
          <w:color w:val="000000"/>
          <w:sz w:val="24"/>
          <w:szCs w:val="24"/>
          <w:rtl/>
        </w:rPr>
        <w:t>, ועוד, שהלכה-כסתם-משנה*</w:t>
      </w:r>
      <w:r>
        <w:rPr>
          <w:rFonts w:ascii="David" w:hAnsi="David" w:cs="David"/>
          <w:color w:val="0000FF"/>
          <w:sz w:val="24"/>
          <w:szCs w:val="24"/>
          <w:vertAlign w:val="superscript"/>
          <w:rtl/>
        </w:rPr>
        <w:footnoteReference w:customMarkFollows="1" w:id="1384"/>
        <w:t>1384</w:t>
      </w:r>
      <w:r>
        <w:rPr>
          <w:rFonts w:ascii="David" w:hAnsi="David" w:cs="David"/>
          <w:color w:val="000000"/>
          <w:sz w:val="24"/>
          <w:szCs w:val="24"/>
          <w:rtl/>
        </w:rPr>
        <w:t xml:space="preserve">. </w:t>
      </w:r>
    </w:p>
    <w:p w14:paraId="490652F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[החשוב שנעשתה מצותו]</w:t>
      </w:r>
    </w:p>
    <w:p w14:paraId="12AA010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אוחז הטהור בכלי הטמא - כגון שאוחזו בכנף בגדו, שבכך אינו נטמא על ידו</w:t>
      </w:r>
      <w:r>
        <w:rPr>
          <w:rFonts w:ascii="David" w:hAnsi="David" w:cs="David"/>
          <w:color w:val="0000FF"/>
          <w:sz w:val="24"/>
          <w:szCs w:val="24"/>
          <w:vertAlign w:val="superscript"/>
          <w:rtl/>
        </w:rPr>
        <w:footnoteReference w:customMarkFollows="1" w:id="1385"/>
        <w:t>1385</w:t>
      </w:r>
      <w:r>
        <w:rPr>
          <w:rFonts w:ascii="David" w:hAnsi="David" w:cs="David"/>
          <w:color w:val="000000"/>
          <w:sz w:val="24"/>
          <w:szCs w:val="24"/>
          <w:rtl/>
        </w:rPr>
        <w:t xml:space="preserve"> - ומזה עליו מי חטאת, ואינו נטמא ממנו, אף על פי שיש עליו מים בכדי הזאה</w:t>
      </w:r>
      <w:r>
        <w:rPr>
          <w:rFonts w:ascii="David" w:hAnsi="David" w:cs="David"/>
          <w:color w:val="0000FF"/>
          <w:sz w:val="24"/>
          <w:szCs w:val="24"/>
          <w:vertAlign w:val="superscript"/>
          <w:rtl/>
        </w:rPr>
        <w:footnoteReference w:customMarkFollows="1" w:id="1386"/>
        <w:t>1386</w:t>
      </w:r>
      <w:r>
        <w:rPr>
          <w:rFonts w:ascii="David" w:hAnsi="David" w:cs="David"/>
          <w:color w:val="000000"/>
          <w:sz w:val="24"/>
          <w:szCs w:val="24"/>
          <w:rtl/>
        </w:rPr>
        <w:t xml:space="preserve">, ואינו טמא מחמת שהוא נושא מי חטאת, לפי שכבר </w:t>
      </w:r>
    </w:p>
    <w:p w14:paraId="1EF6834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נעשתה מצותם של המים</w:t>
      </w:r>
      <w:r>
        <w:rPr>
          <w:rFonts w:ascii="David" w:hAnsi="David" w:cs="David"/>
          <w:color w:val="0000FF"/>
          <w:sz w:val="24"/>
          <w:szCs w:val="24"/>
          <w:vertAlign w:val="superscript"/>
          <w:rtl/>
        </w:rPr>
        <w:footnoteReference w:customMarkFollows="1" w:id="1387"/>
        <w:t>1387</w:t>
      </w:r>
      <w:r>
        <w:rPr>
          <w:rFonts w:ascii="David" w:hAnsi="David" w:cs="David"/>
          <w:color w:val="000000"/>
          <w:sz w:val="24"/>
          <w:szCs w:val="24"/>
          <w:rtl/>
        </w:rPr>
        <w:t>, ואף על פי שקיום מצותם ומשאם באים כאחד, טהור, הואיל ולא נשאם קודם שנעשית מצותם</w:t>
      </w:r>
      <w:r>
        <w:rPr>
          <w:rFonts w:ascii="David" w:hAnsi="David" w:cs="David"/>
          <w:color w:val="0000FF"/>
          <w:sz w:val="24"/>
          <w:szCs w:val="24"/>
          <w:vertAlign w:val="superscript"/>
          <w:rtl/>
        </w:rPr>
        <w:footnoteReference w:customMarkFollows="1" w:id="1388"/>
        <w:t>1388</w:t>
      </w:r>
      <w:r>
        <w:rPr>
          <w:rFonts w:ascii="David" w:hAnsi="David" w:cs="David"/>
          <w:color w:val="000000"/>
          <w:sz w:val="24"/>
          <w:szCs w:val="24"/>
          <w:rtl/>
        </w:rPr>
        <w:t>. ואף מים הניתזים בשעת הזאה על הארץ או על הטהור, הנוגע בהם והנושאם טהור</w:t>
      </w:r>
      <w:r>
        <w:rPr>
          <w:rFonts w:ascii="David" w:hAnsi="David" w:cs="David"/>
          <w:color w:val="0000FF"/>
          <w:sz w:val="24"/>
          <w:szCs w:val="24"/>
          <w:vertAlign w:val="superscript"/>
          <w:rtl/>
        </w:rPr>
        <w:footnoteReference w:customMarkFollows="1" w:id="1389"/>
        <w:t>1389</w:t>
      </w:r>
      <w:r>
        <w:rPr>
          <w:rFonts w:ascii="David" w:hAnsi="David" w:cs="David"/>
          <w:color w:val="000000"/>
          <w:sz w:val="24"/>
          <w:szCs w:val="24"/>
          <w:rtl/>
        </w:rPr>
        <w:t>, שכיון שנתכוין להזותם על דבר המקבל טומאה חשוב שנעשתה מצותם</w:t>
      </w:r>
      <w:r>
        <w:rPr>
          <w:rFonts w:ascii="David" w:hAnsi="David" w:cs="David"/>
          <w:color w:val="0000FF"/>
          <w:sz w:val="24"/>
          <w:szCs w:val="24"/>
          <w:vertAlign w:val="superscript"/>
          <w:rtl/>
        </w:rPr>
        <w:footnoteReference w:customMarkFollows="1" w:id="1390"/>
        <w:t>1390</w:t>
      </w:r>
      <w:r>
        <w:rPr>
          <w:rFonts w:ascii="David" w:hAnsi="David" w:cs="David"/>
          <w:color w:val="000000"/>
          <w:sz w:val="24"/>
          <w:szCs w:val="24"/>
          <w:rtl/>
        </w:rPr>
        <w:t>, ויש מן האחרונים שכתבו בדעת ראשונים, שנחלקו תנאים בדבר, שחכמים שאמרו שטהור שנפלה עליו הזאה לא נטמא</w:t>
      </w:r>
      <w:r>
        <w:rPr>
          <w:rFonts w:ascii="David" w:hAnsi="David" w:cs="David"/>
          <w:color w:val="0000FF"/>
          <w:sz w:val="24"/>
          <w:szCs w:val="24"/>
          <w:vertAlign w:val="superscript"/>
          <w:rtl/>
        </w:rPr>
        <w:footnoteReference w:customMarkFollows="1" w:id="1391"/>
        <w:t>1391</w:t>
      </w:r>
      <w:r>
        <w:rPr>
          <w:rFonts w:ascii="David" w:hAnsi="David" w:cs="David"/>
          <w:color w:val="000000"/>
          <w:sz w:val="24"/>
          <w:szCs w:val="24"/>
          <w:rtl/>
        </w:rPr>
        <w:t>, לא טיהרו אלא באופן שנתכוין להזות על הטמא והיזה על הטהור - שאם נתכוין להזות על הטהור, הרי המים נוגעים בו שלא לצורך, ונטמא במגע* לדעתם</w:t>
      </w:r>
      <w:r>
        <w:rPr>
          <w:rFonts w:ascii="David" w:hAnsi="David" w:cs="David"/>
          <w:color w:val="0000FF"/>
          <w:sz w:val="24"/>
          <w:szCs w:val="24"/>
          <w:vertAlign w:val="superscript"/>
          <w:rtl/>
        </w:rPr>
        <w:footnoteReference w:customMarkFollows="1" w:id="1392"/>
        <w:t>1392</w:t>
      </w:r>
      <w:r>
        <w:rPr>
          <w:rFonts w:ascii="David" w:hAnsi="David" w:cs="David"/>
          <w:color w:val="000000"/>
          <w:sz w:val="24"/>
          <w:szCs w:val="24"/>
          <w:rtl/>
        </w:rPr>
        <w:t>, על הסוברים שלדעת חכמים אינו נטמא בכך, ועל טעם הדבר, עי' לעיל</w:t>
      </w:r>
      <w:r>
        <w:rPr>
          <w:rFonts w:ascii="David" w:hAnsi="David" w:cs="David"/>
          <w:color w:val="0000FF"/>
          <w:sz w:val="24"/>
          <w:szCs w:val="24"/>
          <w:vertAlign w:val="superscript"/>
          <w:rtl/>
        </w:rPr>
        <w:footnoteReference w:customMarkFollows="1" w:id="1393"/>
        <w:t>1393</w:t>
      </w:r>
      <w:r>
        <w:rPr>
          <w:rFonts w:ascii="David" w:hAnsi="David" w:cs="David"/>
          <w:color w:val="000000"/>
          <w:sz w:val="24"/>
          <w:szCs w:val="24"/>
          <w:rtl/>
        </w:rPr>
        <w:t xml:space="preserve"> - שלדעתם חשובה כהזאה שנעשית מצותה, שהולכים אחר כוונת המזה, והואיל ונתכוין להזות על הטמא, מיד אחר ההזאה קודם שיגיע אל בשר הטמא כבר נגמר מעשה ההזאה, והוא הדין כשמתכוין להזות על טהור מחמת ספק טומאה, הולכים אחר כוונתו, ונעשית מצותם, ולדעת רבי עקיבא אין הולכים אחר הכונה, אלא אחר המעשה, וכל זמן שלא נפלה ההזאה על הטמא חשוב שלא נעשית מצות המים ומטמאים</w:t>
      </w:r>
      <w:r>
        <w:rPr>
          <w:rFonts w:ascii="David" w:hAnsi="David" w:cs="David"/>
          <w:color w:val="0000FF"/>
          <w:sz w:val="24"/>
          <w:szCs w:val="24"/>
          <w:vertAlign w:val="superscript"/>
          <w:rtl/>
        </w:rPr>
        <w:footnoteReference w:customMarkFollows="1" w:id="1394"/>
        <w:t>1394</w:t>
      </w:r>
      <w:r>
        <w:rPr>
          <w:rFonts w:ascii="David" w:hAnsi="David" w:cs="David"/>
          <w:color w:val="000000"/>
          <w:sz w:val="24"/>
          <w:szCs w:val="24"/>
          <w:rtl/>
        </w:rPr>
        <w:t>, ובדעת ראשונים אחרים כתבו, שהם סוברים שמים שניתזו בשעת הזאה, אין חשובים שנעשתה מצותם</w:t>
      </w:r>
      <w:r>
        <w:rPr>
          <w:rFonts w:ascii="David" w:hAnsi="David" w:cs="David"/>
          <w:color w:val="0000FF"/>
          <w:sz w:val="24"/>
          <w:szCs w:val="24"/>
          <w:vertAlign w:val="superscript"/>
          <w:rtl/>
        </w:rPr>
        <w:footnoteReference w:customMarkFollows="1" w:id="1395"/>
        <w:t>1395</w:t>
      </w:r>
      <w:r>
        <w:rPr>
          <w:rFonts w:ascii="David" w:hAnsi="David" w:cs="David"/>
          <w:color w:val="000000"/>
          <w:sz w:val="24"/>
          <w:szCs w:val="24"/>
          <w:rtl/>
        </w:rPr>
        <w:t>. המים הנשארים באזוב אחר ההזאה, אינם חשובים שנעשתה מצותם</w:t>
      </w:r>
      <w:r>
        <w:rPr>
          <w:rFonts w:ascii="David" w:hAnsi="David" w:cs="David"/>
          <w:color w:val="0000FF"/>
          <w:sz w:val="24"/>
          <w:szCs w:val="24"/>
          <w:vertAlign w:val="superscript"/>
          <w:rtl/>
        </w:rPr>
        <w:footnoteReference w:customMarkFollows="1" w:id="1396"/>
        <w:t>1396</w:t>
      </w:r>
      <w:r>
        <w:rPr>
          <w:rFonts w:ascii="David" w:hAnsi="David" w:cs="David"/>
          <w:color w:val="000000"/>
          <w:sz w:val="24"/>
          <w:szCs w:val="24"/>
          <w:rtl/>
        </w:rPr>
        <w:t>, ואף הנוטפים מן האזוב לאחר שנטבל בכלי, קודם הזאתם על הטמא, יש שכתבו, שחשובים שעדיין לא נעשתה מצותם</w:t>
      </w:r>
      <w:r>
        <w:rPr>
          <w:rFonts w:ascii="David" w:hAnsi="David" w:cs="David"/>
          <w:color w:val="0000FF"/>
          <w:sz w:val="24"/>
          <w:szCs w:val="24"/>
          <w:vertAlign w:val="superscript"/>
          <w:rtl/>
        </w:rPr>
        <w:footnoteReference w:customMarkFollows="1" w:id="1397"/>
        <w:t>1397</w:t>
      </w:r>
      <w:r>
        <w:rPr>
          <w:rFonts w:ascii="David" w:hAnsi="David" w:cs="David"/>
          <w:color w:val="000000"/>
          <w:sz w:val="24"/>
          <w:szCs w:val="24"/>
          <w:rtl/>
        </w:rPr>
        <w:t xml:space="preserve"> - ומכל מקום אם נטפו לארץ יש שכתבו שאינם מטמאים מן התורה, מפני שנפסלו בהסח-הדעת*</w:t>
      </w:r>
      <w:r>
        <w:rPr>
          <w:rFonts w:ascii="David" w:hAnsi="David" w:cs="David"/>
          <w:color w:val="0000FF"/>
          <w:sz w:val="24"/>
          <w:szCs w:val="24"/>
          <w:vertAlign w:val="superscript"/>
          <w:rtl/>
        </w:rPr>
        <w:footnoteReference w:customMarkFollows="1" w:id="1398"/>
        <w:t>1398</w:t>
      </w:r>
      <w:r>
        <w:rPr>
          <w:rFonts w:ascii="David" w:hAnsi="David" w:cs="David"/>
          <w:color w:val="000000"/>
          <w:sz w:val="24"/>
          <w:szCs w:val="24"/>
          <w:rtl/>
        </w:rPr>
        <w:t>, לסוברים שמים פסולים אינם מטמאים מן התורה</w:t>
      </w:r>
      <w:r>
        <w:rPr>
          <w:rFonts w:ascii="David" w:hAnsi="David" w:cs="David"/>
          <w:color w:val="0000FF"/>
          <w:sz w:val="24"/>
          <w:szCs w:val="24"/>
          <w:vertAlign w:val="superscript"/>
          <w:rtl/>
        </w:rPr>
        <w:footnoteReference w:customMarkFollows="1" w:id="1399"/>
        <w:t>1399</w:t>
      </w:r>
      <w:r>
        <w:rPr>
          <w:rFonts w:ascii="David" w:hAnsi="David" w:cs="David"/>
          <w:color w:val="000000"/>
          <w:sz w:val="24"/>
          <w:szCs w:val="24"/>
          <w:rtl/>
        </w:rPr>
        <w:t xml:space="preserve"> - ויש סוברים שאף מים הנוטפים מן האזוב חשובים שנעשתה מצותם, לפי שהיא שעת הזאה</w:t>
      </w:r>
      <w:r>
        <w:rPr>
          <w:rFonts w:ascii="David" w:hAnsi="David" w:cs="David"/>
          <w:color w:val="0000FF"/>
          <w:sz w:val="24"/>
          <w:szCs w:val="24"/>
          <w:vertAlign w:val="superscript"/>
          <w:rtl/>
        </w:rPr>
        <w:footnoteReference w:customMarkFollows="1" w:id="1400"/>
        <w:t>1400</w:t>
      </w:r>
      <w:r>
        <w:rPr>
          <w:rFonts w:ascii="David" w:hAnsi="David" w:cs="David"/>
          <w:color w:val="000000"/>
          <w:sz w:val="24"/>
          <w:szCs w:val="24"/>
          <w:rtl/>
        </w:rPr>
        <w:t>, יש סוברים שכן הוא אף כשלא היזה לבסוף</w:t>
      </w:r>
      <w:r>
        <w:rPr>
          <w:rFonts w:ascii="David" w:hAnsi="David" w:cs="David"/>
          <w:color w:val="0000FF"/>
          <w:sz w:val="24"/>
          <w:szCs w:val="24"/>
          <w:vertAlign w:val="superscript"/>
          <w:rtl/>
        </w:rPr>
        <w:footnoteReference w:customMarkFollows="1" w:id="1401"/>
        <w:t>1401</w:t>
      </w:r>
      <w:r>
        <w:rPr>
          <w:rFonts w:ascii="David" w:hAnsi="David" w:cs="David"/>
          <w:color w:val="000000"/>
          <w:sz w:val="24"/>
          <w:szCs w:val="24"/>
          <w:rtl/>
        </w:rPr>
        <w:t xml:space="preserve">, ויש שפירשו שדוקא כשהיזה </w:t>
      </w:r>
    </w:p>
    <w:p w14:paraId="7217C9F5"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לבסוף הזאה כשירה, חשובים המים הנוטפים שנעשתה מצותם</w:t>
      </w:r>
      <w:r>
        <w:rPr>
          <w:rFonts w:ascii="David" w:hAnsi="David" w:cs="David"/>
          <w:color w:val="0000FF"/>
          <w:sz w:val="24"/>
          <w:szCs w:val="24"/>
          <w:vertAlign w:val="superscript"/>
          <w:rtl/>
        </w:rPr>
        <w:footnoteReference w:customMarkFollows="1" w:id="1402"/>
        <w:t>1402</w:t>
      </w:r>
      <w:r>
        <w:rPr>
          <w:rFonts w:ascii="David" w:hAnsi="David" w:cs="David"/>
          <w:color w:val="000000"/>
          <w:sz w:val="24"/>
          <w:szCs w:val="24"/>
          <w:rtl/>
        </w:rPr>
        <w:t xml:space="preserve">. </w:t>
      </w:r>
    </w:p>
    <w:p w14:paraId="15ABA38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[כשהיזו מהם בלילה ועל טהור]</w:t>
      </w:r>
    </w:p>
    <w:p w14:paraId="74AE599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מים שהיזו מהם הזאה פסולה, כגון שהיזו בלילה</w:t>
      </w:r>
      <w:r>
        <w:rPr>
          <w:rFonts w:ascii="David" w:hAnsi="David" w:cs="David"/>
          <w:color w:val="0000FF"/>
          <w:sz w:val="24"/>
          <w:szCs w:val="24"/>
          <w:vertAlign w:val="superscript"/>
          <w:rtl/>
        </w:rPr>
        <w:footnoteReference w:customMarkFollows="1" w:id="1403"/>
        <w:t>1403</w:t>
      </w:r>
      <w:r>
        <w:rPr>
          <w:rFonts w:ascii="David" w:hAnsi="David" w:cs="David"/>
          <w:color w:val="000000"/>
          <w:sz w:val="24"/>
          <w:szCs w:val="24"/>
          <w:rtl/>
        </w:rPr>
        <w:t>, המים טמאים, שלא נעשית מצותם</w:t>
      </w:r>
      <w:r>
        <w:rPr>
          <w:rFonts w:ascii="David" w:hAnsi="David" w:cs="David"/>
          <w:color w:val="0000FF"/>
          <w:sz w:val="24"/>
          <w:szCs w:val="24"/>
          <w:vertAlign w:val="superscript"/>
          <w:rtl/>
        </w:rPr>
        <w:footnoteReference w:customMarkFollows="1" w:id="1404"/>
        <w:t>1404</w:t>
      </w:r>
      <w:r>
        <w:rPr>
          <w:rFonts w:ascii="David" w:hAnsi="David" w:cs="David"/>
          <w:color w:val="000000"/>
          <w:sz w:val="24"/>
          <w:szCs w:val="24"/>
          <w:rtl/>
        </w:rPr>
        <w:t>, שאין הזאה זו חשובה הזאה</w:t>
      </w:r>
      <w:r>
        <w:rPr>
          <w:rFonts w:ascii="David" w:hAnsi="David" w:cs="David"/>
          <w:color w:val="0000FF"/>
          <w:sz w:val="24"/>
          <w:szCs w:val="24"/>
          <w:vertAlign w:val="superscript"/>
          <w:rtl/>
        </w:rPr>
        <w:footnoteReference w:customMarkFollows="1" w:id="1405"/>
        <w:t>1405</w:t>
      </w:r>
      <w:r>
        <w:rPr>
          <w:rFonts w:ascii="David" w:hAnsi="David" w:cs="David"/>
          <w:color w:val="000000"/>
          <w:sz w:val="24"/>
          <w:szCs w:val="24"/>
          <w:rtl/>
        </w:rPr>
        <w:t>. וכן אם היזו מהם על דבר שאינו מקבל טומאה - שהזאה זו אינה חשובה הזאה</w:t>
      </w:r>
      <w:r>
        <w:rPr>
          <w:rFonts w:ascii="David" w:hAnsi="David" w:cs="David"/>
          <w:color w:val="0000FF"/>
          <w:sz w:val="24"/>
          <w:szCs w:val="24"/>
          <w:vertAlign w:val="superscript"/>
          <w:rtl/>
        </w:rPr>
        <w:footnoteReference w:customMarkFollows="1" w:id="1406"/>
        <w:t>1406</w:t>
      </w:r>
      <w:r>
        <w:rPr>
          <w:rFonts w:ascii="David" w:hAnsi="David" w:cs="David"/>
          <w:color w:val="000000"/>
          <w:sz w:val="24"/>
          <w:szCs w:val="24"/>
          <w:rtl/>
        </w:rPr>
        <w:t xml:space="preserve"> - אינו חשוב שנעשית מצותם</w:t>
      </w:r>
      <w:r>
        <w:rPr>
          <w:rFonts w:ascii="David" w:hAnsi="David" w:cs="David"/>
          <w:color w:val="0000FF"/>
          <w:sz w:val="24"/>
          <w:szCs w:val="24"/>
          <w:vertAlign w:val="superscript"/>
          <w:rtl/>
        </w:rPr>
        <w:footnoteReference w:customMarkFollows="1" w:id="1407"/>
        <w:t>1407</w:t>
      </w:r>
      <w:r>
        <w:rPr>
          <w:rFonts w:ascii="David" w:hAnsi="David" w:cs="David"/>
          <w:color w:val="000000"/>
          <w:sz w:val="24"/>
          <w:szCs w:val="24"/>
          <w:rtl/>
        </w:rPr>
        <w:t>, אבל המזה על אדם טהור, יש מן הראשונים שנראה מדבריהם, שחשוב שנעשית מצותם ואינם מטמאים, שהואיל והמים שהוזו עליו שוב אינם ראויים להזאה, לדעתם, הרי הם כמי שנעשתה מצותם ואינם מטמאים</w:t>
      </w:r>
      <w:r>
        <w:rPr>
          <w:rFonts w:ascii="David" w:hAnsi="David" w:cs="David"/>
          <w:color w:val="0000FF"/>
          <w:sz w:val="24"/>
          <w:szCs w:val="24"/>
          <w:vertAlign w:val="superscript"/>
          <w:rtl/>
        </w:rPr>
        <w:footnoteReference w:customMarkFollows="1" w:id="1408"/>
        <w:t>1408</w:t>
      </w:r>
      <w:r>
        <w:rPr>
          <w:rFonts w:ascii="David" w:hAnsi="David" w:cs="David"/>
          <w:color w:val="000000"/>
          <w:sz w:val="24"/>
          <w:szCs w:val="24"/>
          <w:rtl/>
        </w:rPr>
        <w:t>, ומהם שפירשו, שמטעם זה הוא שלדעת חכמים טהור שנפלה עליו הזאה נשאר בטהרתו</w:t>
      </w:r>
      <w:r>
        <w:rPr>
          <w:rFonts w:ascii="David" w:hAnsi="David" w:cs="David"/>
          <w:color w:val="0000FF"/>
          <w:sz w:val="24"/>
          <w:szCs w:val="24"/>
          <w:vertAlign w:val="superscript"/>
          <w:rtl/>
        </w:rPr>
        <w:footnoteReference w:customMarkFollows="1" w:id="1409"/>
        <w:t>1409</w:t>
      </w:r>
      <w:r>
        <w:rPr>
          <w:rFonts w:ascii="David" w:hAnsi="David" w:cs="David"/>
          <w:color w:val="000000"/>
          <w:sz w:val="24"/>
          <w:szCs w:val="24"/>
          <w:rtl/>
        </w:rPr>
        <w:t>, ואינו נטמא במגע שנוגעים המים בבשרו</w:t>
      </w:r>
      <w:r>
        <w:rPr>
          <w:rFonts w:ascii="David" w:hAnsi="David" w:cs="David"/>
          <w:color w:val="0000FF"/>
          <w:sz w:val="24"/>
          <w:szCs w:val="24"/>
          <w:vertAlign w:val="superscript"/>
          <w:rtl/>
        </w:rPr>
        <w:footnoteReference w:customMarkFollows="1" w:id="1410"/>
        <w:t>1410</w:t>
      </w:r>
      <w:r>
        <w:rPr>
          <w:rFonts w:ascii="David" w:hAnsi="David" w:cs="David"/>
          <w:color w:val="000000"/>
          <w:sz w:val="24"/>
          <w:szCs w:val="24"/>
          <w:rtl/>
        </w:rPr>
        <w:t>. ויש שנראה מדבריהם שכל שאותו שהיזו עליו אינו טמא, אין חשוב שנעשית מצותם, והמים מטמאים</w:t>
      </w:r>
      <w:r>
        <w:rPr>
          <w:rFonts w:ascii="David" w:hAnsi="David" w:cs="David"/>
          <w:color w:val="0000FF"/>
          <w:sz w:val="24"/>
          <w:szCs w:val="24"/>
          <w:vertAlign w:val="superscript"/>
          <w:rtl/>
        </w:rPr>
        <w:footnoteReference w:customMarkFollows="1" w:id="1411"/>
        <w:t>1411</w:t>
      </w:r>
      <w:r>
        <w:rPr>
          <w:rFonts w:ascii="David" w:hAnsi="David" w:cs="David"/>
          <w:color w:val="000000"/>
          <w:sz w:val="24"/>
          <w:szCs w:val="24"/>
          <w:rtl/>
        </w:rPr>
        <w:t>, ומכל מקום כתבו שאם היזו על אדם שטומאתו בספק, אף על פי שהיה ספיקו ספק-טומאה* ברשות הרבים, וטהור הוא</w:t>
      </w:r>
      <w:r>
        <w:rPr>
          <w:rFonts w:ascii="David" w:hAnsi="David" w:cs="David"/>
          <w:color w:val="0000FF"/>
          <w:sz w:val="24"/>
          <w:szCs w:val="24"/>
          <w:vertAlign w:val="superscript"/>
          <w:rtl/>
        </w:rPr>
        <w:footnoteReference w:customMarkFollows="1" w:id="1412"/>
        <w:t>1412</w:t>
      </w:r>
      <w:r>
        <w:rPr>
          <w:rFonts w:ascii="David" w:hAnsi="David" w:cs="David"/>
          <w:color w:val="000000"/>
          <w:sz w:val="24"/>
          <w:szCs w:val="24"/>
          <w:rtl/>
        </w:rPr>
        <w:t>, חשובים המים כמי שנעשתה מצותם, ואינם מטמאים</w:t>
      </w:r>
      <w:r>
        <w:rPr>
          <w:rFonts w:ascii="David" w:hAnsi="David" w:cs="David"/>
          <w:color w:val="0000FF"/>
          <w:sz w:val="24"/>
          <w:szCs w:val="24"/>
          <w:vertAlign w:val="superscript"/>
          <w:rtl/>
        </w:rPr>
        <w:footnoteReference w:customMarkFollows="1" w:id="1413"/>
        <w:t>1413</w:t>
      </w:r>
      <w:r>
        <w:rPr>
          <w:rFonts w:ascii="David" w:hAnsi="David" w:cs="David"/>
          <w:color w:val="000000"/>
          <w:sz w:val="24"/>
          <w:szCs w:val="24"/>
          <w:rtl/>
        </w:rPr>
        <w:t>, וביארו אחרונים, שלדעתם אף הטמא מחמת ספק טומאה ברשות הרבים צריך הזאה לכתחילה, שכן אמר ר' יוחנן, שהדין שספק טומאה ברשות הרבים טהור, הוא הלכה ואין מורים כן</w:t>
      </w:r>
      <w:r>
        <w:rPr>
          <w:rFonts w:ascii="David" w:hAnsi="David" w:cs="David"/>
          <w:color w:val="0000FF"/>
          <w:sz w:val="24"/>
          <w:szCs w:val="24"/>
          <w:vertAlign w:val="superscript"/>
          <w:rtl/>
        </w:rPr>
        <w:footnoteReference w:customMarkFollows="1" w:id="1414"/>
        <w:t>1414</w:t>
      </w:r>
      <w:r>
        <w:rPr>
          <w:rFonts w:ascii="David" w:hAnsi="David" w:cs="David"/>
          <w:color w:val="000000"/>
          <w:sz w:val="24"/>
          <w:szCs w:val="24"/>
          <w:rtl/>
        </w:rPr>
        <w:t>, ויש מן האחרונים שכתבו, שאף באופן שמן הדין אין צריך להזות, הואיל ובאה ההזאה להפקיע סרך טומאה, חשובים המים שנעשית מצותם</w:t>
      </w:r>
      <w:r>
        <w:rPr>
          <w:rFonts w:ascii="David" w:hAnsi="David" w:cs="David"/>
          <w:color w:val="0000FF"/>
          <w:sz w:val="24"/>
          <w:szCs w:val="24"/>
          <w:vertAlign w:val="superscript"/>
          <w:rtl/>
        </w:rPr>
        <w:footnoteReference w:customMarkFollows="1" w:id="1415"/>
        <w:t>1415</w:t>
      </w:r>
      <w:r>
        <w:rPr>
          <w:rFonts w:ascii="David" w:hAnsi="David" w:cs="David"/>
          <w:color w:val="000000"/>
          <w:sz w:val="24"/>
          <w:szCs w:val="24"/>
          <w:rtl/>
        </w:rPr>
        <w:t xml:space="preserve">. </w:t>
      </w:r>
    </w:p>
    <w:p w14:paraId="5FB11D3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FF0080"/>
          <w:sz w:val="24"/>
          <w:szCs w:val="24"/>
          <w:rtl/>
        </w:rPr>
        <w:t>ח. לטהרת השורף את הפרה.</w:t>
      </w:r>
      <w:r>
        <w:rPr>
          <w:rFonts w:ascii="David" w:hAnsi="David" w:cs="David"/>
          <w:color w:val="000000"/>
          <w:sz w:val="24"/>
          <w:szCs w:val="24"/>
          <w:rtl/>
        </w:rPr>
        <w:t xml:space="preserve"> מי חטאת שהיו נעשים לטהרת הכהן השורף את הפרה</w:t>
      </w:r>
      <w:r>
        <w:rPr>
          <w:rFonts w:ascii="David" w:hAnsi="David" w:cs="David"/>
          <w:color w:val="0000FF"/>
          <w:sz w:val="24"/>
          <w:szCs w:val="24"/>
          <w:vertAlign w:val="superscript"/>
          <w:rtl/>
        </w:rPr>
        <w:footnoteReference w:customMarkFollows="1" w:id="1416"/>
        <w:t>1416</w:t>
      </w:r>
      <w:r>
        <w:rPr>
          <w:rFonts w:ascii="David" w:hAnsi="David" w:cs="David"/>
          <w:color w:val="000000"/>
          <w:sz w:val="24"/>
          <w:szCs w:val="24"/>
          <w:rtl/>
        </w:rPr>
        <w:t>, היו עושים אותם במעלות רבות של טהרה</w:t>
      </w:r>
      <w:r>
        <w:rPr>
          <w:rFonts w:ascii="David" w:hAnsi="David" w:cs="David"/>
          <w:color w:val="0000FF"/>
          <w:sz w:val="24"/>
          <w:szCs w:val="24"/>
          <w:vertAlign w:val="superscript"/>
          <w:rtl/>
        </w:rPr>
        <w:footnoteReference w:customMarkFollows="1" w:id="1417"/>
        <w:t>1417</w:t>
      </w:r>
      <w:r>
        <w:rPr>
          <w:rFonts w:ascii="David" w:hAnsi="David" w:cs="David"/>
          <w:color w:val="000000"/>
          <w:sz w:val="24"/>
          <w:szCs w:val="24"/>
          <w:rtl/>
        </w:rPr>
        <w:t>, על ידי תינוקות שלא נטמאו במת ובזיבה מימיהם, ובאופן שלא יטמאו התינוקות והמים והאפר בשעת המילוי והקידוש</w:t>
      </w:r>
      <w:r>
        <w:rPr>
          <w:rFonts w:ascii="David" w:hAnsi="David" w:cs="David"/>
          <w:color w:val="0000FF"/>
          <w:sz w:val="24"/>
          <w:szCs w:val="24"/>
          <w:vertAlign w:val="superscript"/>
          <w:rtl/>
        </w:rPr>
        <w:footnoteReference w:customMarkFollows="1" w:id="1418"/>
        <w:t>1418</w:t>
      </w:r>
      <w:r>
        <w:rPr>
          <w:rFonts w:ascii="David" w:hAnsi="David" w:cs="David"/>
          <w:color w:val="000000"/>
          <w:sz w:val="24"/>
          <w:szCs w:val="24"/>
          <w:rtl/>
        </w:rPr>
        <w:t>. ועשו מעלות אלו כדי שלא יזלזלו בטהרת הפרה, מפני שהיו עושים את שריפת הפרה בכהן טבול-יום* שטבל ולא העריב שמשו</w:t>
      </w:r>
      <w:r>
        <w:rPr>
          <w:rFonts w:ascii="David" w:hAnsi="David" w:cs="David"/>
          <w:color w:val="0000FF"/>
          <w:sz w:val="24"/>
          <w:szCs w:val="24"/>
          <w:vertAlign w:val="superscript"/>
          <w:rtl/>
        </w:rPr>
        <w:footnoteReference w:customMarkFollows="1" w:id="1419"/>
        <w:t>1419</w:t>
      </w:r>
      <w:r>
        <w:rPr>
          <w:rFonts w:ascii="David" w:hAnsi="David" w:cs="David"/>
          <w:color w:val="000000"/>
          <w:sz w:val="24"/>
          <w:szCs w:val="24"/>
          <w:rtl/>
        </w:rPr>
        <w:t xml:space="preserve"> - על הטעם שהיו עושים השריפה בכהן טבול יום, ועל מעלות נוספות שעשו בפרה מטעם זה, ע"ע מעלות וע' פרה אדומה - ולפיכך תיקנו שלא לסמוך על טהרתו של שום אדם ולחוש לו לעולם לטומאת מת, ולכך הוצרכו לתינוקות שנתגדלו בטהרה</w:t>
      </w:r>
      <w:r>
        <w:rPr>
          <w:rFonts w:ascii="David" w:hAnsi="David" w:cs="David"/>
          <w:color w:val="0000FF"/>
          <w:sz w:val="24"/>
          <w:szCs w:val="24"/>
          <w:vertAlign w:val="superscript"/>
          <w:rtl/>
        </w:rPr>
        <w:footnoteReference w:customMarkFollows="1" w:id="1420"/>
        <w:t>1420</w:t>
      </w:r>
      <w:r>
        <w:rPr>
          <w:rFonts w:ascii="David" w:hAnsi="David" w:cs="David"/>
          <w:color w:val="000000"/>
          <w:sz w:val="24"/>
          <w:szCs w:val="24"/>
          <w:rtl/>
        </w:rPr>
        <w:t>, ויש מן האחרונים שכתבו טעם אחר, שהפרה שעל ידה יטהרו כל ישראל, רצו שתעשה בלי שום חשש פקפוק טומאה שאפשר</w:t>
      </w:r>
      <w:r>
        <w:rPr>
          <w:rFonts w:ascii="David" w:hAnsi="David" w:cs="David"/>
          <w:color w:val="0000FF"/>
          <w:sz w:val="24"/>
          <w:szCs w:val="24"/>
          <w:vertAlign w:val="superscript"/>
          <w:rtl/>
        </w:rPr>
        <w:footnoteReference w:customMarkFollows="1" w:id="1421"/>
        <w:t>1421</w:t>
      </w:r>
      <w:r>
        <w:rPr>
          <w:rFonts w:ascii="David" w:hAnsi="David" w:cs="David"/>
          <w:color w:val="000000"/>
          <w:sz w:val="24"/>
          <w:szCs w:val="24"/>
          <w:rtl/>
        </w:rPr>
        <w:t>, ויש מן הראשונים שכתבו, שלא בכל שריפת פרה הוצרכו למעלות אלו, אלא שפעמים שאין איש טהור מטומאת מת, כמו בזמן הזה, או לדעת תנאים בזמן שעלו מהגולה, והוצרכו לגדל תינוקות שאין עליהם טומאת מת, ואמרו לעשות מעלות נוספות להרחיק מטומאה</w:t>
      </w:r>
      <w:r>
        <w:rPr>
          <w:rFonts w:ascii="David" w:hAnsi="David" w:cs="David"/>
          <w:color w:val="0000FF"/>
          <w:sz w:val="24"/>
          <w:szCs w:val="24"/>
          <w:vertAlign w:val="superscript"/>
          <w:rtl/>
        </w:rPr>
        <w:footnoteReference w:customMarkFollows="1" w:id="1422"/>
        <w:t>1422</w:t>
      </w:r>
      <w:r>
        <w:rPr>
          <w:rFonts w:ascii="David" w:hAnsi="David" w:cs="David"/>
          <w:color w:val="000000"/>
          <w:sz w:val="24"/>
          <w:szCs w:val="24"/>
          <w:rtl/>
        </w:rPr>
        <w:t>, ואף בזמן שיש איש טהור, שאין זקוקים למעלות אלו, היו מתכוונים שיעשו הדבר על ידי תינוקות שלא נטמאו במת מעולם, שעשו בה מעלה יתירה, להוסיף בשמירתה</w:t>
      </w:r>
      <w:r>
        <w:rPr>
          <w:rFonts w:ascii="David" w:hAnsi="David" w:cs="David"/>
          <w:color w:val="0000FF"/>
          <w:sz w:val="24"/>
          <w:szCs w:val="24"/>
          <w:vertAlign w:val="superscript"/>
          <w:rtl/>
        </w:rPr>
        <w:footnoteReference w:customMarkFollows="1" w:id="1423"/>
        <w:t>1423</w:t>
      </w:r>
      <w:r>
        <w:rPr>
          <w:rFonts w:ascii="David" w:hAnsi="David" w:cs="David"/>
          <w:color w:val="000000"/>
          <w:sz w:val="24"/>
          <w:szCs w:val="24"/>
          <w:rtl/>
        </w:rPr>
        <w:t>. ולפיכך לא עשו מעלות אלו אלא לטהרת המים שמזים מהם על הכהן השורף את הפרה והמתעסקים בה, אבל אחר כך כשנתחלק האפר בכל גבול ישראל לא היו נזהרים בכל אלה, אלא כל הנצרך הולך אל ראש המשמר שאצלו היה מופקד האפר בטהרה, ומקבל ממנו האפר בשפופרת, וממלא מים ומקדש באפר</w:t>
      </w:r>
      <w:r>
        <w:rPr>
          <w:rFonts w:ascii="David" w:hAnsi="David" w:cs="David"/>
          <w:color w:val="0000FF"/>
          <w:sz w:val="24"/>
          <w:szCs w:val="24"/>
          <w:vertAlign w:val="superscript"/>
          <w:rtl/>
        </w:rPr>
        <w:footnoteReference w:customMarkFollows="1" w:id="1424"/>
        <w:t>1424</w:t>
      </w:r>
      <w:r>
        <w:rPr>
          <w:rFonts w:ascii="David" w:hAnsi="David" w:cs="David"/>
          <w:color w:val="000000"/>
          <w:sz w:val="24"/>
          <w:szCs w:val="24"/>
          <w:rtl/>
        </w:rPr>
        <w:t xml:space="preserve">. </w:t>
      </w:r>
    </w:p>
    <w:p w14:paraId="28BA11D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[התינוקות]</w:t>
      </w:r>
    </w:p>
    <w:p w14:paraId="054BE0B8"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גידול התינוקות לצורך מי חטאת של כהן השורף את הפרה</w:t>
      </w:r>
      <w:r>
        <w:rPr>
          <w:rFonts w:ascii="David" w:hAnsi="David" w:cs="David"/>
          <w:color w:val="0000FF"/>
          <w:sz w:val="24"/>
          <w:szCs w:val="24"/>
          <w:vertAlign w:val="superscript"/>
          <w:rtl/>
        </w:rPr>
        <w:footnoteReference w:customMarkFollows="1" w:id="1425"/>
        <w:t>1425</w:t>
      </w:r>
      <w:r>
        <w:rPr>
          <w:rFonts w:ascii="David" w:hAnsi="David" w:cs="David"/>
          <w:color w:val="000000"/>
          <w:sz w:val="24"/>
          <w:szCs w:val="24"/>
          <w:rtl/>
        </w:rPr>
        <w:t>, היה בחצירות שהיו בירושלים שהיו בנויות על גבי סלע, ותחתיו חלול מפני קבר התהום</w:t>
      </w:r>
      <w:r>
        <w:rPr>
          <w:rFonts w:ascii="David" w:hAnsi="David" w:cs="David"/>
          <w:color w:val="0000FF"/>
          <w:sz w:val="24"/>
          <w:szCs w:val="24"/>
          <w:vertAlign w:val="superscript"/>
          <w:rtl/>
        </w:rPr>
        <w:footnoteReference w:customMarkFollows="1" w:id="1426"/>
        <w:t>1426</w:t>
      </w:r>
      <w:r>
        <w:rPr>
          <w:rFonts w:ascii="David" w:hAnsi="David" w:cs="David"/>
          <w:color w:val="000000"/>
          <w:sz w:val="24"/>
          <w:szCs w:val="24"/>
          <w:rtl/>
        </w:rPr>
        <w:t xml:space="preserve"> - קבר שאינו גלוי</w:t>
      </w:r>
      <w:r>
        <w:rPr>
          <w:rFonts w:ascii="David" w:hAnsi="David" w:cs="David"/>
          <w:color w:val="0000FF"/>
          <w:sz w:val="24"/>
          <w:szCs w:val="24"/>
          <w:vertAlign w:val="superscript"/>
          <w:rtl/>
        </w:rPr>
        <w:footnoteReference w:customMarkFollows="1" w:id="1427"/>
        <w:t>1427</w:t>
      </w:r>
      <w:r>
        <w:rPr>
          <w:rFonts w:ascii="David" w:hAnsi="David" w:cs="David"/>
          <w:color w:val="000000"/>
          <w:sz w:val="24"/>
          <w:szCs w:val="24"/>
          <w:rtl/>
        </w:rPr>
        <w:t xml:space="preserve"> - ואפילו לסוברים שארץ ישראל בדוקה היא מטומאה, ולא ירד בה מבול, עשו מעלה בפרה לחוש בה לקבר התהום</w:t>
      </w:r>
      <w:r>
        <w:rPr>
          <w:rFonts w:ascii="David" w:hAnsi="David" w:cs="David"/>
          <w:color w:val="0000FF"/>
          <w:sz w:val="24"/>
          <w:szCs w:val="24"/>
          <w:vertAlign w:val="superscript"/>
          <w:rtl/>
        </w:rPr>
        <w:footnoteReference w:customMarkFollows="1" w:id="1428"/>
        <w:t>1428</w:t>
      </w:r>
      <w:r>
        <w:rPr>
          <w:rFonts w:ascii="David" w:hAnsi="David" w:cs="David"/>
          <w:color w:val="000000"/>
          <w:sz w:val="24"/>
          <w:szCs w:val="24"/>
          <w:rtl/>
        </w:rPr>
        <w:t xml:space="preserve">, ואפילו ניכר שהסלע היה שם מתחילת בריאתו של עולם, חוששים שיש קבר תחתיו, ואין </w:t>
      </w:r>
    </w:p>
    <w:p w14:paraId="4AF8A45F"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מעליו חלל טפח, וטמאה-רצוצה* היא, ובוקעת ועולה</w:t>
      </w:r>
      <w:r>
        <w:rPr>
          <w:rFonts w:ascii="David" w:hAnsi="David" w:cs="David"/>
          <w:color w:val="0000FF"/>
          <w:sz w:val="24"/>
          <w:szCs w:val="24"/>
          <w:vertAlign w:val="superscript"/>
          <w:rtl/>
        </w:rPr>
        <w:footnoteReference w:customMarkFollows="1" w:id="1429"/>
        <w:t>1429</w:t>
      </w:r>
      <w:r>
        <w:rPr>
          <w:rFonts w:ascii="David" w:hAnsi="David" w:cs="David"/>
          <w:color w:val="000000"/>
          <w:sz w:val="24"/>
          <w:szCs w:val="24"/>
          <w:rtl/>
        </w:rPr>
        <w:t>, ולפיכך החמירו לעשות תחתיו חלל המפסיק</w:t>
      </w:r>
      <w:r>
        <w:rPr>
          <w:rFonts w:ascii="David" w:hAnsi="David" w:cs="David"/>
          <w:color w:val="0000FF"/>
          <w:sz w:val="24"/>
          <w:szCs w:val="24"/>
          <w:vertAlign w:val="superscript"/>
          <w:rtl/>
        </w:rPr>
        <w:footnoteReference w:customMarkFollows="1" w:id="1430"/>
        <w:t>1430</w:t>
      </w:r>
      <w:r>
        <w:rPr>
          <w:rFonts w:ascii="David" w:hAnsi="David" w:cs="David"/>
          <w:color w:val="000000"/>
          <w:sz w:val="24"/>
          <w:szCs w:val="24"/>
          <w:rtl/>
        </w:rPr>
        <w:t>. ומביאים נשים עוברות, ויולדות שם, ומגדלות שם את בניהן</w:t>
      </w:r>
      <w:r>
        <w:rPr>
          <w:rFonts w:ascii="David" w:hAnsi="David" w:cs="David"/>
          <w:color w:val="0000FF"/>
          <w:sz w:val="24"/>
          <w:szCs w:val="24"/>
          <w:vertAlign w:val="superscript"/>
          <w:rtl/>
        </w:rPr>
        <w:footnoteReference w:customMarkFollows="1" w:id="1431"/>
        <w:t>1431</w:t>
      </w:r>
      <w:r>
        <w:rPr>
          <w:rFonts w:ascii="David" w:hAnsi="David" w:cs="David"/>
          <w:color w:val="000000"/>
          <w:sz w:val="24"/>
          <w:szCs w:val="24"/>
          <w:rtl/>
        </w:rPr>
        <w:t>, עד שיהיו בני שבע או שמונה שנים</w:t>
      </w:r>
      <w:r>
        <w:rPr>
          <w:rFonts w:ascii="David" w:hAnsi="David" w:cs="David"/>
          <w:color w:val="0000FF"/>
          <w:sz w:val="24"/>
          <w:szCs w:val="24"/>
          <w:vertAlign w:val="superscript"/>
          <w:rtl/>
        </w:rPr>
        <w:footnoteReference w:customMarkFollows="1" w:id="1432"/>
        <w:t>1432</w:t>
      </w:r>
      <w:r>
        <w:rPr>
          <w:rFonts w:ascii="David" w:hAnsi="David" w:cs="David"/>
          <w:color w:val="000000"/>
          <w:sz w:val="24"/>
          <w:szCs w:val="24"/>
          <w:rtl/>
        </w:rPr>
        <w:t>, כדי שלא יראו קרי</w:t>
      </w:r>
      <w:r>
        <w:rPr>
          <w:rFonts w:ascii="David" w:hAnsi="David" w:cs="David"/>
          <w:color w:val="0000FF"/>
          <w:sz w:val="24"/>
          <w:szCs w:val="24"/>
          <w:vertAlign w:val="superscript"/>
          <w:rtl/>
        </w:rPr>
        <w:footnoteReference w:customMarkFollows="1" w:id="1433"/>
        <w:t>1433</w:t>
      </w:r>
      <w:r>
        <w:rPr>
          <w:rFonts w:ascii="David" w:hAnsi="David" w:cs="David"/>
          <w:color w:val="000000"/>
          <w:sz w:val="24"/>
          <w:szCs w:val="24"/>
          <w:rtl/>
        </w:rPr>
        <w:t>, ואף על פי כן היו התינוקות צריכים טבילה</w:t>
      </w:r>
      <w:r>
        <w:rPr>
          <w:rFonts w:ascii="David" w:hAnsi="David" w:cs="David"/>
          <w:color w:val="0000FF"/>
          <w:sz w:val="24"/>
          <w:szCs w:val="24"/>
          <w:vertAlign w:val="superscript"/>
          <w:rtl/>
        </w:rPr>
        <w:footnoteReference w:customMarkFollows="1" w:id="1434"/>
        <w:t>1434</w:t>
      </w:r>
      <w:r>
        <w:rPr>
          <w:rFonts w:ascii="David" w:hAnsi="David" w:cs="David"/>
          <w:color w:val="000000"/>
          <w:sz w:val="24"/>
          <w:szCs w:val="24"/>
          <w:rtl/>
        </w:rPr>
        <w:t>, שמא נטמאו בשאר טומאות</w:t>
      </w:r>
      <w:r>
        <w:rPr>
          <w:rFonts w:ascii="David" w:hAnsi="David" w:cs="David"/>
          <w:color w:val="0000FF"/>
          <w:sz w:val="24"/>
          <w:szCs w:val="24"/>
          <w:vertAlign w:val="superscript"/>
          <w:rtl/>
        </w:rPr>
        <w:footnoteReference w:customMarkFollows="1" w:id="1435"/>
        <w:t>1435</w:t>
      </w:r>
      <w:r>
        <w:rPr>
          <w:rFonts w:ascii="David" w:hAnsi="David" w:cs="David"/>
          <w:color w:val="000000"/>
          <w:sz w:val="24"/>
          <w:szCs w:val="24"/>
          <w:rtl/>
        </w:rPr>
        <w:t>, ולדעת רבי יוסי הגלילי היו צריכים אף הזאה, ודעת רבי עקיבא שלא היו צריכים הזאה</w:t>
      </w:r>
      <w:r>
        <w:rPr>
          <w:rFonts w:ascii="David" w:hAnsi="David" w:cs="David"/>
          <w:color w:val="0000FF"/>
          <w:sz w:val="24"/>
          <w:szCs w:val="24"/>
          <w:vertAlign w:val="superscript"/>
          <w:rtl/>
        </w:rPr>
        <w:footnoteReference w:customMarkFollows="1" w:id="1436"/>
        <w:t>1436</w:t>
      </w:r>
      <w:r>
        <w:rPr>
          <w:rFonts w:ascii="David" w:hAnsi="David" w:cs="David"/>
          <w:color w:val="000000"/>
          <w:sz w:val="24"/>
          <w:szCs w:val="24"/>
          <w:rtl/>
        </w:rPr>
        <w:t>, וכן הלכה שאין צריכים הזאה</w:t>
      </w:r>
      <w:r>
        <w:rPr>
          <w:rFonts w:ascii="David" w:hAnsi="David" w:cs="David"/>
          <w:color w:val="0000FF"/>
          <w:sz w:val="24"/>
          <w:szCs w:val="24"/>
          <w:vertAlign w:val="superscript"/>
          <w:rtl/>
        </w:rPr>
        <w:footnoteReference w:customMarkFollows="1" w:id="1437"/>
        <w:t>1437</w:t>
      </w:r>
      <w:r>
        <w:rPr>
          <w:rFonts w:ascii="David" w:hAnsi="David" w:cs="David"/>
          <w:color w:val="000000"/>
          <w:sz w:val="24"/>
          <w:szCs w:val="24"/>
          <w:rtl/>
        </w:rPr>
        <w:t>. תינוק שנשמר ונתגדל בצוותא עם התינוקות שגדלו לשם מעשי הפרה, ולא יחדוהו לכך, אף על פי שהוא טהור כמותם, יש מן הראשונים והאחרונים שכתבו שאינו כשר למילוי המים</w:t>
      </w:r>
      <w:r>
        <w:rPr>
          <w:rFonts w:ascii="David" w:hAnsi="David" w:cs="David"/>
          <w:color w:val="0000FF"/>
          <w:sz w:val="24"/>
          <w:szCs w:val="24"/>
          <w:vertAlign w:val="superscript"/>
          <w:rtl/>
        </w:rPr>
        <w:footnoteReference w:customMarkFollows="1" w:id="1438"/>
        <w:t>1438</w:t>
      </w:r>
      <w:r>
        <w:rPr>
          <w:rFonts w:ascii="David" w:hAnsi="David" w:cs="David"/>
          <w:color w:val="000000"/>
          <w:sz w:val="24"/>
          <w:szCs w:val="24"/>
          <w:rtl/>
        </w:rPr>
        <w:t>, ומעלה היא שעשו בהם</w:t>
      </w:r>
      <w:r>
        <w:rPr>
          <w:rFonts w:ascii="David" w:hAnsi="David" w:cs="David"/>
          <w:color w:val="0000FF"/>
          <w:sz w:val="24"/>
          <w:szCs w:val="24"/>
          <w:vertAlign w:val="superscript"/>
          <w:rtl/>
        </w:rPr>
        <w:footnoteReference w:customMarkFollows="1" w:id="1439"/>
        <w:t>1439</w:t>
      </w:r>
      <w:r>
        <w:rPr>
          <w:rFonts w:ascii="David" w:hAnsi="David" w:cs="David"/>
          <w:color w:val="000000"/>
          <w:sz w:val="24"/>
          <w:szCs w:val="24"/>
          <w:rtl/>
        </w:rPr>
        <w:t xml:space="preserve">. </w:t>
      </w:r>
    </w:p>
    <w:p w14:paraId="3FC6ACD3"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[המילוי]</w:t>
      </w:r>
    </w:p>
    <w:p w14:paraId="43E0EC19"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כשהיו רוצים לילך ולמלאות מים לצורך מי חטאת של כהן השורף את הפרה, היו מביאים שוורים ועל גביהם דלתות - שאינן מקבלות טומאה</w:t>
      </w:r>
      <w:r>
        <w:rPr>
          <w:rFonts w:ascii="David" w:hAnsi="David" w:cs="David"/>
          <w:color w:val="0000FF"/>
          <w:sz w:val="24"/>
          <w:szCs w:val="24"/>
          <w:vertAlign w:val="superscript"/>
          <w:rtl/>
        </w:rPr>
        <w:footnoteReference w:customMarkFollows="1" w:id="1440"/>
        <w:t>1440</w:t>
      </w:r>
      <w:r>
        <w:rPr>
          <w:rFonts w:ascii="David" w:hAnsi="David" w:cs="David"/>
          <w:color w:val="000000"/>
          <w:sz w:val="24"/>
          <w:szCs w:val="24"/>
          <w:rtl/>
        </w:rPr>
        <w:t xml:space="preserve"> - והתינוקות יושבים על גביהן</w:t>
      </w:r>
      <w:r>
        <w:rPr>
          <w:rFonts w:ascii="David" w:hAnsi="David" w:cs="David"/>
          <w:color w:val="0000FF"/>
          <w:sz w:val="24"/>
          <w:szCs w:val="24"/>
          <w:vertAlign w:val="superscript"/>
          <w:rtl/>
        </w:rPr>
        <w:footnoteReference w:customMarkFollows="1" w:id="1441"/>
        <w:t>1441</w:t>
      </w:r>
      <w:r>
        <w:rPr>
          <w:rFonts w:ascii="David" w:hAnsi="David" w:cs="David"/>
          <w:color w:val="000000"/>
          <w:sz w:val="24"/>
          <w:szCs w:val="24"/>
          <w:rtl/>
        </w:rPr>
        <w:t>, כדי שלא יהיו רגליו של תינוק מאהילות על הארץ, מפני קבר התהום</w:t>
      </w:r>
      <w:r>
        <w:rPr>
          <w:rFonts w:ascii="David" w:hAnsi="David" w:cs="David"/>
          <w:color w:val="0000FF"/>
          <w:sz w:val="24"/>
          <w:szCs w:val="24"/>
          <w:vertAlign w:val="superscript"/>
          <w:rtl/>
        </w:rPr>
        <w:footnoteReference w:customMarkFollows="1" w:id="1442"/>
        <w:t>1442</w:t>
      </w:r>
      <w:r>
        <w:rPr>
          <w:rFonts w:ascii="David" w:hAnsi="David" w:cs="David"/>
          <w:color w:val="000000"/>
          <w:sz w:val="24"/>
          <w:szCs w:val="24"/>
          <w:rtl/>
        </w:rPr>
        <w:t>, ואף על פי שדלתות אינן דרך אוהל, חוצצות מפני הטומאה</w:t>
      </w:r>
      <w:r>
        <w:rPr>
          <w:rFonts w:ascii="David" w:hAnsi="David" w:cs="David"/>
          <w:color w:val="0000FF"/>
          <w:sz w:val="24"/>
          <w:szCs w:val="24"/>
          <w:vertAlign w:val="superscript"/>
          <w:rtl/>
        </w:rPr>
        <w:footnoteReference w:customMarkFollows="1" w:id="1443"/>
        <w:t>1443</w:t>
      </w:r>
      <w:r>
        <w:rPr>
          <w:rFonts w:ascii="David" w:hAnsi="David" w:cs="David"/>
          <w:color w:val="000000"/>
          <w:sz w:val="24"/>
          <w:szCs w:val="24"/>
          <w:rtl/>
        </w:rPr>
        <w:t>, ור' יהודה אומר, שלא היו מביאים דלתות, מפני שדעתו של תינוק גסה עליו, ושמא יוציא ראשו או אחד מאבריו ויטמא בקבר התהום, אלא מביאים שוורים המצרים שכריסותיהם רחבות, והתינוקות יושבים על גביהם</w:t>
      </w:r>
      <w:r>
        <w:rPr>
          <w:rFonts w:ascii="David" w:hAnsi="David" w:cs="David"/>
          <w:color w:val="0000FF"/>
          <w:sz w:val="24"/>
          <w:szCs w:val="24"/>
          <w:vertAlign w:val="superscript"/>
          <w:rtl/>
        </w:rPr>
        <w:footnoteReference w:customMarkFollows="1" w:id="1444"/>
        <w:t>1444</w:t>
      </w:r>
      <w:r>
        <w:rPr>
          <w:rFonts w:ascii="David" w:hAnsi="David" w:cs="David"/>
          <w:color w:val="000000"/>
          <w:sz w:val="24"/>
          <w:szCs w:val="24"/>
          <w:rtl/>
        </w:rPr>
        <w:t>, וכריסותיהם מפסיקות בפני הטומאה</w:t>
      </w:r>
      <w:r>
        <w:rPr>
          <w:rFonts w:ascii="David" w:hAnsi="David" w:cs="David"/>
          <w:color w:val="0000FF"/>
          <w:sz w:val="24"/>
          <w:szCs w:val="24"/>
          <w:vertAlign w:val="superscript"/>
          <w:rtl/>
        </w:rPr>
        <w:footnoteReference w:customMarkFollows="1" w:id="1445"/>
        <w:t>1445</w:t>
      </w:r>
      <w:r>
        <w:rPr>
          <w:rFonts w:ascii="David" w:hAnsi="David" w:cs="David"/>
          <w:color w:val="000000"/>
          <w:sz w:val="24"/>
          <w:szCs w:val="24"/>
          <w:rtl/>
        </w:rPr>
        <w:t>, ומחמת אימת השוורים בודאי לא יוציאו רגליהם</w:t>
      </w:r>
      <w:r>
        <w:rPr>
          <w:rFonts w:ascii="David" w:hAnsi="David" w:cs="David"/>
          <w:color w:val="0000FF"/>
          <w:sz w:val="24"/>
          <w:szCs w:val="24"/>
          <w:vertAlign w:val="superscript"/>
          <w:rtl/>
        </w:rPr>
        <w:footnoteReference w:customMarkFollows="1" w:id="1446"/>
        <w:t>1446</w:t>
      </w:r>
      <w:r>
        <w:rPr>
          <w:rFonts w:ascii="David" w:hAnsi="David" w:cs="David"/>
          <w:color w:val="000000"/>
          <w:sz w:val="24"/>
          <w:szCs w:val="24"/>
          <w:rtl/>
        </w:rPr>
        <w:t>. הגיעו לשילוח ירדו ומלאו המים בכוסות של אבן ועלו וישבו על גבי השוורים, ר' יוסי אומר ממקומם היו משלשלים וממלאים</w:t>
      </w:r>
      <w:r>
        <w:rPr>
          <w:rFonts w:ascii="David" w:hAnsi="David" w:cs="David"/>
          <w:color w:val="0000FF"/>
          <w:sz w:val="24"/>
          <w:szCs w:val="24"/>
          <w:vertAlign w:val="superscript"/>
          <w:rtl/>
        </w:rPr>
        <w:footnoteReference w:customMarkFollows="1" w:id="1447"/>
        <w:t>1447</w:t>
      </w:r>
      <w:r>
        <w:rPr>
          <w:rFonts w:ascii="David" w:hAnsi="David" w:cs="David"/>
          <w:color w:val="000000"/>
          <w:sz w:val="24"/>
          <w:szCs w:val="24"/>
          <w:rtl/>
        </w:rPr>
        <w:t>, והלכה כתנא קמא</w:t>
      </w:r>
      <w:r>
        <w:rPr>
          <w:rFonts w:ascii="David" w:hAnsi="David" w:cs="David"/>
          <w:color w:val="0000FF"/>
          <w:sz w:val="24"/>
          <w:szCs w:val="24"/>
          <w:vertAlign w:val="superscript"/>
          <w:rtl/>
        </w:rPr>
        <w:footnoteReference w:customMarkFollows="1" w:id="1448"/>
        <w:t>1448</w:t>
      </w:r>
      <w:r>
        <w:rPr>
          <w:rFonts w:ascii="David" w:hAnsi="David" w:cs="David"/>
          <w:color w:val="000000"/>
          <w:sz w:val="24"/>
          <w:szCs w:val="24"/>
          <w:rtl/>
        </w:rPr>
        <w:t>, שלדעת ר' יוסי חששו לקבר התהום</w:t>
      </w:r>
      <w:r>
        <w:rPr>
          <w:rFonts w:ascii="David" w:hAnsi="David" w:cs="David"/>
          <w:color w:val="0000FF"/>
          <w:sz w:val="24"/>
          <w:szCs w:val="24"/>
          <w:vertAlign w:val="superscript"/>
          <w:rtl/>
        </w:rPr>
        <w:footnoteReference w:customMarkFollows="1" w:id="1449"/>
        <w:t>1449</w:t>
      </w:r>
      <w:r>
        <w:rPr>
          <w:rFonts w:ascii="David" w:hAnsi="David" w:cs="David"/>
          <w:color w:val="000000"/>
          <w:sz w:val="24"/>
          <w:szCs w:val="24"/>
          <w:rtl/>
        </w:rPr>
        <w:t>, ואף על פי שנהר הוא ואינו מקום מגורים</w:t>
      </w:r>
      <w:r>
        <w:rPr>
          <w:rFonts w:ascii="David" w:hAnsi="David" w:cs="David"/>
          <w:color w:val="0000FF"/>
          <w:sz w:val="24"/>
          <w:szCs w:val="24"/>
          <w:vertAlign w:val="superscript"/>
          <w:rtl/>
        </w:rPr>
        <w:footnoteReference w:customMarkFollows="1" w:id="1450"/>
        <w:t>1450</w:t>
      </w:r>
      <w:r>
        <w:rPr>
          <w:rFonts w:ascii="David" w:hAnsi="David" w:cs="David"/>
          <w:color w:val="000000"/>
          <w:sz w:val="24"/>
          <w:szCs w:val="24"/>
          <w:rtl/>
        </w:rPr>
        <w:t xml:space="preserve">, ולדעת תנא קמא, יש שכתבו שלא </w:t>
      </w:r>
    </w:p>
    <w:p w14:paraId="26CE65EE"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000000"/>
          <w:sz w:val="24"/>
          <w:szCs w:val="24"/>
          <w:rtl/>
        </w:rPr>
        <w:t>חששו לקבר התהום, שאין דרך לקבור בנהרות</w:t>
      </w:r>
      <w:r>
        <w:rPr>
          <w:rFonts w:ascii="David" w:hAnsi="David" w:cs="David"/>
          <w:color w:val="0000FF"/>
          <w:sz w:val="24"/>
          <w:szCs w:val="24"/>
          <w:vertAlign w:val="superscript"/>
          <w:rtl/>
        </w:rPr>
        <w:footnoteReference w:customMarkFollows="1" w:id="1451"/>
        <w:t>1451</w:t>
      </w:r>
      <w:r>
        <w:rPr>
          <w:rFonts w:ascii="David" w:hAnsi="David" w:cs="David"/>
          <w:color w:val="000000"/>
          <w:sz w:val="24"/>
          <w:szCs w:val="24"/>
          <w:rtl/>
        </w:rPr>
        <w:t>, על הסוברים שלדעת תנא קמא לא היה משלשל וממלא משום שצריך למלאות בידיו, עי' לעיל: המילוי</w:t>
      </w:r>
      <w:r>
        <w:rPr>
          <w:rFonts w:ascii="David" w:hAnsi="David" w:cs="David"/>
          <w:color w:val="0000FF"/>
          <w:sz w:val="24"/>
          <w:szCs w:val="24"/>
          <w:vertAlign w:val="superscript"/>
          <w:rtl/>
        </w:rPr>
        <w:footnoteReference w:customMarkFollows="1" w:id="1452"/>
        <w:t>1452</w:t>
      </w:r>
      <w:r>
        <w:rPr>
          <w:rFonts w:ascii="David" w:hAnsi="David" w:cs="David"/>
          <w:color w:val="000000"/>
          <w:sz w:val="24"/>
          <w:szCs w:val="24"/>
          <w:rtl/>
        </w:rPr>
        <w:t>, על הטעם שהוכשר המילוי לסוברים שקטן פסול למילוי</w:t>
      </w:r>
      <w:r>
        <w:rPr>
          <w:rFonts w:ascii="David" w:hAnsi="David" w:cs="David"/>
          <w:color w:val="0000FF"/>
          <w:sz w:val="24"/>
          <w:szCs w:val="24"/>
          <w:vertAlign w:val="superscript"/>
          <w:rtl/>
        </w:rPr>
        <w:footnoteReference w:customMarkFollows="1" w:id="1453"/>
        <w:t>1453</w:t>
      </w:r>
      <w:r>
        <w:rPr>
          <w:rFonts w:ascii="David" w:hAnsi="David" w:cs="David"/>
          <w:color w:val="000000"/>
          <w:sz w:val="24"/>
          <w:szCs w:val="24"/>
          <w:rtl/>
        </w:rPr>
        <w:t>, עי' לעיל: שם</w:t>
      </w:r>
      <w:r>
        <w:rPr>
          <w:rFonts w:ascii="David" w:hAnsi="David" w:cs="David"/>
          <w:color w:val="0000FF"/>
          <w:sz w:val="24"/>
          <w:szCs w:val="24"/>
          <w:vertAlign w:val="superscript"/>
          <w:rtl/>
        </w:rPr>
        <w:footnoteReference w:customMarkFollows="1" w:id="1454"/>
        <w:t>1454</w:t>
      </w:r>
      <w:r>
        <w:rPr>
          <w:rFonts w:ascii="David" w:hAnsi="David" w:cs="David"/>
          <w:color w:val="000000"/>
          <w:sz w:val="24"/>
          <w:szCs w:val="24"/>
          <w:rtl/>
        </w:rPr>
        <w:t>. בתוספתא שנינו: אמרו לפני ר' יעקב משום ר' ישמעאל, כוסות של אבן היו תלויות בקרני שוורים, כיון ששחו שוורים לשתות נתמלאו הכוסות</w:t>
      </w:r>
      <w:r>
        <w:rPr>
          <w:rFonts w:ascii="David" w:hAnsi="David" w:cs="David"/>
          <w:color w:val="0000FF"/>
          <w:sz w:val="24"/>
          <w:szCs w:val="24"/>
          <w:vertAlign w:val="superscript"/>
          <w:rtl/>
        </w:rPr>
        <w:footnoteReference w:customMarkFollows="1" w:id="1455"/>
        <w:t>1455</w:t>
      </w:r>
      <w:r>
        <w:rPr>
          <w:rFonts w:ascii="David" w:hAnsi="David" w:cs="David"/>
          <w:color w:val="000000"/>
          <w:sz w:val="24"/>
          <w:szCs w:val="24"/>
          <w:rtl/>
        </w:rPr>
        <w:t>, שלדעתם לא היו התינוקות יורדים וממלאים, שחששו לקבר התהום, ואף לא היו משלשלים בחבל, שחששו שמא מתוך שישלשל יוציא ידו ויאהיל, ולפיכך אין להם תקנה אלא שיתמלאו הכוסות מאליהן</w:t>
      </w:r>
      <w:r>
        <w:rPr>
          <w:rFonts w:ascii="David" w:hAnsi="David" w:cs="David"/>
          <w:color w:val="0000FF"/>
          <w:sz w:val="24"/>
          <w:szCs w:val="24"/>
          <w:vertAlign w:val="superscript"/>
          <w:rtl/>
        </w:rPr>
        <w:footnoteReference w:customMarkFollows="1" w:id="1456"/>
        <w:t>1456</w:t>
      </w:r>
      <w:r>
        <w:rPr>
          <w:rFonts w:ascii="David" w:hAnsi="David" w:cs="David"/>
          <w:color w:val="000000"/>
          <w:sz w:val="24"/>
          <w:szCs w:val="24"/>
          <w:rtl/>
        </w:rPr>
        <w:t>, על מחלוקת הראשונים אם מילוי שלא מכח האדם כשר, ועל ביאור דעת הסוברים שהיו ממלאים על ידי שוורים, לסוברים שצריך שיהא המילוי מכח אדם, עי' לעיל: המילוי</w:t>
      </w:r>
      <w:r>
        <w:rPr>
          <w:rFonts w:ascii="David" w:hAnsi="David" w:cs="David"/>
          <w:color w:val="0000FF"/>
          <w:sz w:val="24"/>
          <w:szCs w:val="24"/>
          <w:vertAlign w:val="superscript"/>
          <w:rtl/>
        </w:rPr>
        <w:footnoteReference w:customMarkFollows="1" w:id="1457"/>
        <w:t>1457</w:t>
      </w:r>
      <w:r>
        <w:rPr>
          <w:rFonts w:ascii="David" w:hAnsi="David" w:cs="David"/>
          <w:color w:val="000000"/>
          <w:sz w:val="24"/>
          <w:szCs w:val="24"/>
          <w:rtl/>
        </w:rPr>
        <w:t xml:space="preserve">. </w:t>
      </w:r>
    </w:p>
    <w:p w14:paraId="5729360C" w14:textId="77777777" w:rsidR="003931E3" w:rsidRDefault="003931E3" w:rsidP="003931E3">
      <w:pPr>
        <w:autoSpaceDE w:val="0"/>
        <w:autoSpaceDN w:val="0"/>
        <w:adjustRightInd w:val="0"/>
        <w:spacing w:line="240" w:lineRule="auto"/>
        <w:jc w:val="left"/>
        <w:rPr>
          <w:rFonts w:ascii="David" w:hAnsi="David" w:cs="David"/>
          <w:color w:val="000000"/>
          <w:sz w:val="24"/>
          <w:szCs w:val="24"/>
          <w:rtl/>
        </w:rPr>
      </w:pPr>
      <w:r>
        <w:rPr>
          <w:rFonts w:ascii="David" w:hAnsi="David" w:cs="David"/>
          <w:color w:val="800000"/>
          <w:sz w:val="18"/>
          <w:szCs w:val="18"/>
          <w:rtl/>
        </w:rPr>
        <w:t>[הקידוש]</w:t>
      </w:r>
    </w:p>
    <w:p w14:paraId="6C1ED255" w14:textId="630B5B59" w:rsidR="00FC0775" w:rsidRDefault="003931E3" w:rsidP="003931E3">
      <w:r>
        <w:rPr>
          <w:rFonts w:ascii="David" w:hAnsi="David" w:cs="David"/>
          <w:color w:val="000000"/>
          <w:sz w:val="24"/>
          <w:szCs w:val="24"/>
          <w:rtl/>
        </w:rPr>
        <w:t>אחר שמילאו הכוסות, באו להר הבית - התינוקות על השוורים, והכוסות מלאות מים בידיהם</w:t>
      </w:r>
      <w:r>
        <w:rPr>
          <w:rFonts w:ascii="David" w:hAnsi="David" w:cs="David"/>
          <w:color w:val="0000FF"/>
          <w:sz w:val="24"/>
          <w:szCs w:val="24"/>
          <w:vertAlign w:val="superscript"/>
          <w:rtl/>
        </w:rPr>
        <w:footnoteReference w:customMarkFollows="1" w:id="1458"/>
        <w:t>1458</w:t>
      </w:r>
      <w:r>
        <w:rPr>
          <w:rFonts w:ascii="David" w:hAnsi="David" w:cs="David"/>
          <w:color w:val="000000"/>
          <w:sz w:val="24"/>
          <w:szCs w:val="24"/>
          <w:rtl/>
        </w:rPr>
        <w:t xml:space="preserve"> - וירדו, והר הבית והעזרות היה תחתיהם חלול מפני קבר התהום</w:t>
      </w:r>
      <w:r>
        <w:rPr>
          <w:rFonts w:ascii="David" w:hAnsi="David" w:cs="David"/>
          <w:color w:val="0000FF"/>
          <w:sz w:val="24"/>
          <w:szCs w:val="24"/>
          <w:vertAlign w:val="superscript"/>
          <w:rtl/>
        </w:rPr>
        <w:footnoteReference w:customMarkFollows="1" w:id="1459"/>
        <w:t>1459</w:t>
      </w:r>
      <w:r>
        <w:rPr>
          <w:rFonts w:ascii="David" w:hAnsi="David" w:cs="David"/>
          <w:color w:val="000000"/>
          <w:sz w:val="24"/>
          <w:szCs w:val="24"/>
          <w:rtl/>
        </w:rPr>
        <w:t>, ולכן יכולים היו התינוקות לירד ולעמוד על גבי קרקע וישארו בטהרתם</w:t>
      </w:r>
      <w:r>
        <w:rPr>
          <w:rFonts w:ascii="David" w:hAnsi="David" w:cs="David"/>
          <w:color w:val="0000FF"/>
          <w:sz w:val="24"/>
          <w:szCs w:val="24"/>
          <w:vertAlign w:val="superscript"/>
          <w:rtl/>
        </w:rPr>
        <w:footnoteReference w:customMarkFollows="1" w:id="1460"/>
        <w:t>1460</w:t>
      </w:r>
      <w:r>
        <w:rPr>
          <w:rFonts w:ascii="David" w:hAnsi="David" w:cs="David"/>
          <w:color w:val="000000"/>
          <w:sz w:val="24"/>
          <w:szCs w:val="24"/>
          <w:rtl/>
        </w:rPr>
        <w:t>, ובפתח העזרה - עזרת נשים</w:t>
      </w:r>
      <w:r>
        <w:rPr>
          <w:rFonts w:ascii="David" w:hAnsi="David" w:cs="David"/>
          <w:color w:val="0000FF"/>
          <w:sz w:val="24"/>
          <w:szCs w:val="24"/>
          <w:vertAlign w:val="superscript"/>
          <w:rtl/>
        </w:rPr>
        <w:footnoteReference w:customMarkFollows="1" w:id="1461"/>
        <w:t>1461</w:t>
      </w:r>
      <w:r>
        <w:rPr>
          <w:rFonts w:ascii="David" w:hAnsi="David" w:cs="David"/>
          <w:color w:val="000000"/>
          <w:sz w:val="24"/>
          <w:szCs w:val="24"/>
          <w:rtl/>
        </w:rPr>
        <w:t xml:space="preserve"> - היה קלל - כד</w:t>
      </w:r>
      <w:r>
        <w:rPr>
          <w:rFonts w:ascii="David" w:hAnsi="David" w:cs="David"/>
          <w:color w:val="0000FF"/>
          <w:sz w:val="24"/>
          <w:szCs w:val="24"/>
          <w:vertAlign w:val="superscript"/>
          <w:rtl/>
        </w:rPr>
        <w:footnoteReference w:customMarkFollows="1" w:id="1462"/>
        <w:t>1462</w:t>
      </w:r>
      <w:r>
        <w:rPr>
          <w:rFonts w:ascii="David" w:hAnsi="David" w:cs="David"/>
          <w:color w:val="000000"/>
          <w:sz w:val="24"/>
          <w:szCs w:val="24"/>
          <w:rtl/>
        </w:rPr>
        <w:t xml:space="preserve"> - שיש בו אפר, ומביאים זכר של רחלים, וקושרים חבל בין קרניו, וקושרים מקל ומסבכים אותו בראש החבל, וזורקים ראש המקל לתוך הקלל, ומכה את הזכר, ונרתע לאחריו, ונוטל מהאפר - שנפל בידו על ידי רתיעה זו</w:t>
      </w:r>
      <w:r>
        <w:rPr>
          <w:rFonts w:ascii="David" w:hAnsi="David" w:cs="David"/>
          <w:color w:val="0000FF"/>
          <w:sz w:val="24"/>
          <w:szCs w:val="24"/>
          <w:vertAlign w:val="superscript"/>
          <w:rtl/>
        </w:rPr>
        <w:footnoteReference w:customMarkFollows="1" w:id="1463"/>
        <w:t>1463</w:t>
      </w:r>
      <w:r>
        <w:rPr>
          <w:rFonts w:ascii="David" w:hAnsi="David" w:cs="David"/>
          <w:color w:val="000000"/>
          <w:sz w:val="24"/>
          <w:szCs w:val="24"/>
          <w:rtl/>
        </w:rPr>
        <w:t xml:space="preserve"> - ומקדש</w:t>
      </w:r>
      <w:r>
        <w:rPr>
          <w:rFonts w:ascii="David" w:hAnsi="David" w:cs="David"/>
          <w:color w:val="0000FF"/>
          <w:sz w:val="24"/>
          <w:szCs w:val="24"/>
          <w:vertAlign w:val="superscript"/>
          <w:rtl/>
        </w:rPr>
        <w:footnoteReference w:customMarkFollows="1" w:id="1464"/>
        <w:t>1464</w:t>
      </w:r>
      <w:r>
        <w:rPr>
          <w:rFonts w:ascii="David" w:hAnsi="David" w:cs="David"/>
          <w:color w:val="000000"/>
          <w:sz w:val="24"/>
          <w:szCs w:val="24"/>
          <w:rtl/>
        </w:rPr>
        <w:t>, ולא היה נוטל את האפר בידו, כדי שאם הוא טמא לא יטמא האפר</w:t>
      </w:r>
      <w:r>
        <w:rPr>
          <w:rFonts w:ascii="David" w:hAnsi="David" w:cs="David"/>
          <w:color w:val="0000FF"/>
          <w:sz w:val="24"/>
          <w:szCs w:val="24"/>
          <w:vertAlign w:val="superscript"/>
          <w:rtl/>
        </w:rPr>
        <w:footnoteReference w:customMarkFollows="1" w:id="1465"/>
        <w:t>1465</w:t>
      </w:r>
      <w:r>
        <w:rPr>
          <w:rFonts w:ascii="David" w:hAnsi="David" w:cs="David"/>
          <w:color w:val="000000"/>
          <w:sz w:val="24"/>
          <w:szCs w:val="24"/>
          <w:rtl/>
        </w:rPr>
        <w:t>, ורבי יוסי אמר: אל תתנו מקום לצדוקים לרדות</w:t>
      </w:r>
      <w:r>
        <w:rPr>
          <w:rFonts w:ascii="David" w:hAnsi="David" w:cs="David"/>
          <w:color w:val="0000FF"/>
          <w:sz w:val="24"/>
          <w:szCs w:val="24"/>
          <w:vertAlign w:val="superscript"/>
          <w:rtl/>
        </w:rPr>
        <w:footnoteReference w:customMarkFollows="1" w:id="1466"/>
        <w:t>1466</w:t>
      </w:r>
      <w:r>
        <w:rPr>
          <w:rFonts w:ascii="David" w:hAnsi="David" w:cs="David"/>
          <w:color w:val="000000"/>
          <w:sz w:val="24"/>
          <w:szCs w:val="24"/>
          <w:rtl/>
        </w:rPr>
        <w:t>, אלא הוא נוטל ומקדש</w:t>
      </w:r>
      <w:r>
        <w:rPr>
          <w:rFonts w:ascii="David" w:hAnsi="David" w:cs="David"/>
          <w:color w:val="0000FF"/>
          <w:sz w:val="24"/>
          <w:szCs w:val="24"/>
          <w:vertAlign w:val="superscript"/>
          <w:rtl/>
        </w:rPr>
        <w:footnoteReference w:customMarkFollows="1" w:id="1467"/>
        <w:t>1467</w:t>
      </w:r>
      <w:r>
        <w:rPr>
          <w:rFonts w:ascii="David" w:hAnsi="David" w:cs="David"/>
          <w:color w:val="000000"/>
          <w:sz w:val="24"/>
          <w:szCs w:val="24"/>
          <w:rtl/>
        </w:rPr>
        <w:t>, וכן הלכה</w:t>
      </w:r>
      <w:r>
        <w:rPr>
          <w:rFonts w:ascii="David" w:hAnsi="David" w:cs="David"/>
          <w:color w:val="0000FF"/>
          <w:sz w:val="24"/>
          <w:szCs w:val="24"/>
          <w:vertAlign w:val="superscript"/>
          <w:rtl/>
        </w:rPr>
        <w:footnoteReference w:customMarkFollows="1" w:id="1468"/>
        <w:t>1468</w:t>
      </w:r>
      <w:r>
        <w:rPr>
          <w:rFonts w:ascii="David" w:hAnsi="David" w:cs="David"/>
          <w:color w:val="000000"/>
          <w:sz w:val="24"/>
          <w:szCs w:val="24"/>
          <w:rtl/>
        </w:rPr>
        <w:t xml:space="preserve">. על כך שאם עשו כל סדר זה לשם פרה אחת, ונפסלה, צריכים לחזור ולעשותו לשם פרה אחרת, ואם מעכב אף בדיעבד, ע"ע פרה אדומה. </w:t>
      </w:r>
    </w:p>
    <w:sectPr w:rsidR="00FC0775" w:rsidSect="007B5DB8">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41EC6" w14:textId="77777777" w:rsidR="002A2E67" w:rsidRDefault="002A2E67" w:rsidP="003931E3">
      <w:pPr>
        <w:spacing w:line="240" w:lineRule="auto"/>
      </w:pPr>
      <w:r>
        <w:separator/>
      </w:r>
    </w:p>
  </w:endnote>
  <w:endnote w:type="continuationSeparator" w:id="0">
    <w:p w14:paraId="39813949" w14:textId="77777777" w:rsidR="002A2E67" w:rsidRDefault="002A2E67" w:rsidP="003931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A47FF" w14:textId="77777777" w:rsidR="002A2E67" w:rsidRDefault="002A2E67" w:rsidP="003931E3">
      <w:pPr>
        <w:spacing w:line="240" w:lineRule="auto"/>
      </w:pPr>
      <w:r>
        <w:separator/>
      </w:r>
    </w:p>
  </w:footnote>
  <w:footnote w:type="continuationSeparator" w:id="0">
    <w:p w14:paraId="640BE422" w14:textId="77777777" w:rsidR="002A2E67" w:rsidRDefault="002A2E67" w:rsidP="003931E3">
      <w:pPr>
        <w:spacing w:line="240" w:lineRule="auto"/>
      </w:pPr>
      <w:r>
        <w:continuationSeparator/>
      </w:r>
    </w:p>
  </w:footnote>
  <w:footnote w:id="1">
    <w:p w14:paraId="45BC62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w:t>
      </w:r>
      <w:r>
        <w:rPr>
          <w:rFonts w:ascii="David" w:hAnsi="David" w:cs="David"/>
          <w:sz w:val="24"/>
          <w:szCs w:val="24"/>
          <w:rtl/>
        </w:rPr>
        <w:t xml:space="preserve"> </w:t>
      </w:r>
      <w:r>
        <w:rPr>
          <w:rFonts w:ascii="David" w:hAnsi="David" w:cs="David"/>
          <w:color w:val="000000"/>
          <w:sz w:val="18"/>
          <w:szCs w:val="18"/>
          <w:rtl/>
        </w:rPr>
        <w:t>. במדבר יט כ. רמב"ם פרה פ"ו ה"א.</w:t>
      </w:r>
    </w:p>
  </w:footnote>
  <w:footnote w:id="2">
    <w:p w14:paraId="671190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w:t>
      </w:r>
      <w:r>
        <w:rPr>
          <w:rFonts w:ascii="David" w:hAnsi="David" w:cs="David"/>
          <w:sz w:val="24"/>
          <w:szCs w:val="24"/>
          <w:rtl/>
        </w:rPr>
        <w:t xml:space="preserve"> </w:t>
      </w:r>
      <w:r>
        <w:rPr>
          <w:rFonts w:ascii="David" w:hAnsi="David" w:cs="David"/>
          <w:color w:val="000000"/>
          <w:sz w:val="18"/>
          <w:szCs w:val="18"/>
          <w:rtl/>
        </w:rPr>
        <w:t>. במדבר שם יז ויח. יראה"ש סי' תנט.</w:t>
      </w:r>
    </w:p>
  </w:footnote>
  <w:footnote w:id="3">
    <w:p w14:paraId="27D337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w:t>
      </w:r>
      <w:r>
        <w:rPr>
          <w:rFonts w:ascii="David" w:hAnsi="David" w:cs="David"/>
          <w:sz w:val="24"/>
          <w:szCs w:val="24"/>
          <w:rtl/>
        </w:rPr>
        <w:t xml:space="preserve"> </w:t>
      </w:r>
      <w:r>
        <w:rPr>
          <w:rFonts w:ascii="David" w:hAnsi="David" w:cs="David"/>
          <w:color w:val="000000"/>
          <w:sz w:val="18"/>
          <w:szCs w:val="18"/>
          <w:rtl/>
        </w:rPr>
        <w:t>. הגה"ה (ובנדמ"ח הוא מגוף ד' הר"ש) בר"ש פרה פי"ב מ"ז וערה"ש פרה סי' סא ס"ד, ע"פ פרה פ"ט מ"ד, ועי' תוס' ב"ק נו א ד"ה העושה ורשב"א גיטין נג א. ועי' מאירי ב"ק שם ומנ"ח מ' שצט ותפא"י פרה שם בועז אות יג. ועי' חינוך שם (הנדמ"ח), שנ' שקודם נתינת האפר נקראים מי חטאת, ואחר הנתינה נקראים מי נדה.</w:t>
      </w:r>
    </w:p>
  </w:footnote>
  <w:footnote w:id="4">
    <w:p w14:paraId="6CFB76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w:t>
      </w:r>
      <w:r>
        <w:rPr>
          <w:rFonts w:ascii="David" w:hAnsi="David" w:cs="David"/>
          <w:sz w:val="24"/>
          <w:szCs w:val="24"/>
          <w:rtl/>
        </w:rPr>
        <w:t xml:space="preserve"> </w:t>
      </w:r>
      <w:r>
        <w:rPr>
          <w:rFonts w:ascii="David" w:hAnsi="David" w:cs="David"/>
          <w:color w:val="000000"/>
          <w:sz w:val="18"/>
          <w:szCs w:val="18"/>
          <w:rtl/>
        </w:rPr>
        <w:t>. ערה"ש שם.</w:t>
      </w:r>
    </w:p>
  </w:footnote>
  <w:footnote w:id="5">
    <w:p w14:paraId="05F84E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w:t>
      </w:r>
      <w:r>
        <w:rPr>
          <w:rFonts w:ascii="David" w:hAnsi="David" w:cs="David"/>
          <w:sz w:val="24"/>
          <w:szCs w:val="24"/>
          <w:rtl/>
        </w:rPr>
        <w:t xml:space="preserve"> </w:t>
      </w:r>
      <w:r>
        <w:rPr>
          <w:rFonts w:ascii="David" w:hAnsi="David" w:cs="David"/>
          <w:color w:val="000000"/>
          <w:sz w:val="18"/>
          <w:szCs w:val="18"/>
          <w:rtl/>
        </w:rPr>
        <w:t>. ושם ציון 220 ואילך, על כך שאין מזים בשבת, וע"ע מוקצה מחמת גופו ציון 150, אם המים חשובים מוקצה.</w:t>
      </w:r>
    </w:p>
  </w:footnote>
  <w:footnote w:id="6">
    <w:p w14:paraId="21E111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w:t>
      </w:r>
      <w:r>
        <w:rPr>
          <w:rFonts w:ascii="David" w:hAnsi="David" w:cs="David"/>
          <w:sz w:val="24"/>
          <w:szCs w:val="24"/>
          <w:rtl/>
        </w:rPr>
        <w:t xml:space="preserve"> </w:t>
      </w:r>
      <w:r>
        <w:rPr>
          <w:rFonts w:ascii="David" w:hAnsi="David" w:cs="David"/>
          <w:color w:val="000000"/>
          <w:sz w:val="18"/>
          <w:szCs w:val="18"/>
          <w:rtl/>
        </w:rPr>
        <w:t>. מקואות פ"א מ"ח; עי' פרה פ"ח מ"ח וט, ור"ש ורע"ב שם; עי' ספרי חקת פיס' קכח; עי' רמב"ם פרה פ"ו ה"א.</w:t>
      </w:r>
    </w:p>
  </w:footnote>
  <w:footnote w:id="7">
    <w:p w14:paraId="52571BB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w:t>
      </w:r>
      <w:r>
        <w:rPr>
          <w:rFonts w:ascii="David" w:hAnsi="David" w:cs="David"/>
          <w:sz w:val="24"/>
          <w:szCs w:val="24"/>
          <w:rtl/>
        </w:rPr>
        <w:t xml:space="preserve"> </w:t>
      </w:r>
      <w:r>
        <w:rPr>
          <w:rFonts w:ascii="David" w:hAnsi="David" w:cs="David"/>
          <w:color w:val="000000"/>
          <w:sz w:val="18"/>
          <w:szCs w:val="18"/>
          <w:rtl/>
        </w:rPr>
        <w:t>. עי' ספרי שם; רמב"ם שם, וכעי"ז בפהמ"ש לרמב"ם מקואות שם.</w:t>
      </w:r>
    </w:p>
  </w:footnote>
  <w:footnote w:id="8">
    <w:p w14:paraId="72CE79E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w:t>
      </w:r>
      <w:r>
        <w:rPr>
          <w:rFonts w:ascii="David" w:hAnsi="David" w:cs="David"/>
          <w:sz w:val="24"/>
          <w:szCs w:val="24"/>
          <w:rtl/>
        </w:rPr>
        <w:t xml:space="preserve"> </w:t>
      </w:r>
      <w:r>
        <w:rPr>
          <w:rFonts w:ascii="David" w:hAnsi="David" w:cs="David"/>
          <w:color w:val="000000"/>
          <w:sz w:val="18"/>
          <w:szCs w:val="18"/>
          <w:rtl/>
        </w:rPr>
        <w:t>. הכתב והקבלה במדבר יט יז. וע"ע מים חיים.</w:t>
      </w:r>
    </w:p>
  </w:footnote>
  <w:footnote w:id="9">
    <w:p w14:paraId="762808A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w:t>
      </w:r>
      <w:r>
        <w:rPr>
          <w:rFonts w:ascii="David" w:hAnsi="David" w:cs="David"/>
          <w:sz w:val="24"/>
          <w:szCs w:val="24"/>
          <w:rtl/>
        </w:rPr>
        <w:t xml:space="preserve"> </w:t>
      </w:r>
      <w:r>
        <w:rPr>
          <w:rFonts w:ascii="David" w:hAnsi="David" w:cs="David"/>
          <w:color w:val="000000"/>
          <w:sz w:val="18"/>
          <w:szCs w:val="18"/>
          <w:rtl/>
        </w:rPr>
        <w:t>. רמב"ם שם.</w:t>
      </w:r>
    </w:p>
  </w:footnote>
  <w:footnote w:id="10">
    <w:p w14:paraId="78E1F30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w:t>
      </w:r>
      <w:r>
        <w:rPr>
          <w:rFonts w:ascii="David" w:hAnsi="David" w:cs="David"/>
          <w:sz w:val="24"/>
          <w:szCs w:val="24"/>
          <w:rtl/>
        </w:rPr>
        <w:t xml:space="preserve"> </w:t>
      </w:r>
      <w:r>
        <w:rPr>
          <w:rFonts w:ascii="David" w:hAnsi="David" w:cs="David"/>
          <w:color w:val="000000"/>
          <w:sz w:val="18"/>
          <w:szCs w:val="18"/>
          <w:rtl/>
        </w:rPr>
        <w:t>. במדבר שם. ספרי שם; רמב"ם ופהמ"ש שם. ועי' ספרי ורבינו הלל שם, בטעם שאין מפרשים את הכתוב לענין כל מים, שהם חיים לעולם, וע"ע הנ"ל.</w:t>
      </w:r>
    </w:p>
  </w:footnote>
  <w:footnote w:id="11">
    <w:p w14:paraId="0F34F1B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w:t>
      </w:r>
      <w:r>
        <w:rPr>
          <w:rFonts w:ascii="David" w:hAnsi="David" w:cs="David"/>
          <w:sz w:val="24"/>
          <w:szCs w:val="24"/>
          <w:rtl/>
        </w:rPr>
        <w:t xml:space="preserve"> </w:t>
      </w:r>
      <w:r>
        <w:rPr>
          <w:rFonts w:ascii="David" w:hAnsi="David" w:cs="David"/>
          <w:color w:val="000000"/>
          <w:sz w:val="18"/>
          <w:szCs w:val="18"/>
          <w:rtl/>
        </w:rPr>
        <w:t>. ועי' חזו"א פרה סי' ז ס"ק יד, שצידד שאם אחר קידוש פקע מהם שם מים חיים אינם נפסלים, והוסיף שא"צ שיהיו מים חיים אלא בשעת מילוי, ומ' שר"ל שאין נפסלים אף אם פקע מהם שם מים חיים קודם קידוש, ועי' להלן ציון 81.</w:t>
      </w:r>
    </w:p>
  </w:footnote>
  <w:footnote w:id="12">
    <w:p w14:paraId="7D2AC1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w:t>
      </w:r>
      <w:r>
        <w:rPr>
          <w:rFonts w:ascii="David" w:hAnsi="David" w:cs="David"/>
          <w:sz w:val="24"/>
          <w:szCs w:val="24"/>
          <w:rtl/>
        </w:rPr>
        <w:t xml:space="preserve"> </w:t>
      </w:r>
      <w:r>
        <w:rPr>
          <w:rFonts w:ascii="David" w:hAnsi="David" w:cs="David"/>
          <w:color w:val="000000"/>
          <w:sz w:val="18"/>
          <w:szCs w:val="18"/>
          <w:rtl/>
        </w:rPr>
        <w:t>. ר"ש נגעים פי"ד מ"א ופרה פ"ח מ"ט: ושמא.</w:t>
      </w:r>
    </w:p>
  </w:footnote>
  <w:footnote w:id="13">
    <w:p w14:paraId="6C4627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w:t>
      </w:r>
      <w:r>
        <w:rPr>
          <w:rFonts w:ascii="David" w:hAnsi="David" w:cs="David"/>
          <w:sz w:val="24"/>
          <w:szCs w:val="24"/>
          <w:rtl/>
        </w:rPr>
        <w:t xml:space="preserve"> </w:t>
      </w:r>
      <w:r>
        <w:rPr>
          <w:rFonts w:ascii="David" w:hAnsi="David" w:cs="David"/>
          <w:color w:val="000000"/>
          <w:sz w:val="18"/>
          <w:szCs w:val="18"/>
          <w:rtl/>
        </w:rPr>
        <w:t>. במדבר יט יז.</w:t>
      </w:r>
    </w:p>
  </w:footnote>
  <w:footnote w:id="14">
    <w:p w14:paraId="5A6EB72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w:t>
      </w:r>
      <w:r>
        <w:rPr>
          <w:rFonts w:ascii="David" w:hAnsi="David" w:cs="David"/>
          <w:sz w:val="24"/>
          <w:szCs w:val="24"/>
          <w:rtl/>
        </w:rPr>
        <w:t xml:space="preserve"> </w:t>
      </w:r>
      <w:r>
        <w:rPr>
          <w:rFonts w:ascii="David" w:hAnsi="David" w:cs="David"/>
          <w:color w:val="000000"/>
          <w:sz w:val="18"/>
          <w:szCs w:val="18"/>
          <w:rtl/>
        </w:rPr>
        <w:t>. תפא"י בועז פרה שם אות ה. ועי' ציון 28.</w:t>
      </w:r>
    </w:p>
  </w:footnote>
  <w:footnote w:id="15">
    <w:p w14:paraId="647530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w:t>
      </w:r>
      <w:r>
        <w:rPr>
          <w:rFonts w:ascii="David" w:hAnsi="David" w:cs="David"/>
          <w:sz w:val="24"/>
          <w:szCs w:val="24"/>
          <w:rtl/>
        </w:rPr>
        <w:t xml:space="preserve"> </w:t>
      </w:r>
      <w:r>
        <w:rPr>
          <w:rFonts w:ascii="David" w:hAnsi="David" w:cs="David"/>
          <w:color w:val="000000"/>
          <w:sz w:val="18"/>
          <w:szCs w:val="18"/>
          <w:rtl/>
        </w:rPr>
        <w:t>. עי' תוס' זבחים כב א ד"ה והא, לפי מה שהוגה לפנינו, ועי' במסוהש"ס שם, וע' כיור ציון 120, ועי' רש"י שם ד"ה והא, שאין ידוע לענין מה נאמר, ועי' ר"ש נגעים שם, שאולי נאמר לענין מצורע.</w:t>
      </w:r>
    </w:p>
  </w:footnote>
  <w:footnote w:id="16">
    <w:p w14:paraId="7EBF72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w:t>
      </w:r>
      <w:r>
        <w:rPr>
          <w:rFonts w:ascii="David" w:hAnsi="David" w:cs="David"/>
          <w:sz w:val="24"/>
          <w:szCs w:val="24"/>
          <w:rtl/>
        </w:rPr>
        <w:t xml:space="preserve"> </w:t>
      </w:r>
      <w:r>
        <w:rPr>
          <w:rFonts w:ascii="David" w:hAnsi="David" w:cs="David"/>
          <w:color w:val="000000"/>
          <w:sz w:val="18"/>
          <w:szCs w:val="18"/>
          <w:rtl/>
        </w:rPr>
        <w:t>. ויקרא א יג.</w:t>
      </w:r>
    </w:p>
  </w:footnote>
  <w:footnote w:id="17">
    <w:p w14:paraId="118DE9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w:t>
      </w:r>
      <w:r>
        <w:rPr>
          <w:rFonts w:ascii="David" w:hAnsi="David" w:cs="David"/>
          <w:sz w:val="24"/>
          <w:szCs w:val="24"/>
          <w:rtl/>
        </w:rPr>
        <w:t xml:space="preserve"> </w:t>
      </w:r>
      <w:r>
        <w:rPr>
          <w:rFonts w:ascii="David" w:hAnsi="David" w:cs="David"/>
          <w:color w:val="000000"/>
          <w:sz w:val="18"/>
          <w:szCs w:val="18"/>
          <w:rtl/>
        </w:rPr>
        <w:t>. זבחים שם (לגי' רש"י שם ור"ש נגעים שם, ולפנינו בגמ' ובתוס': רבי שמואל, ובשמ"ק ומסוהש"ס הוגה: דבי שמואל), וע"ע הנ"ל ציון הנ"ל ואילך. ר"ש נגעים שם. וע"ע הנ"ל ציון 121, אם שם לווי שלהם משום שקרואים מי כיור או משום שקרואים מים קדושים. ועי' להלן ציון 32.</w:t>
      </w:r>
    </w:p>
  </w:footnote>
  <w:footnote w:id="18">
    <w:p w14:paraId="0C3334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w:t>
      </w:r>
      <w:r>
        <w:rPr>
          <w:rFonts w:ascii="David" w:hAnsi="David" w:cs="David"/>
          <w:sz w:val="24"/>
          <w:szCs w:val="24"/>
          <w:rtl/>
        </w:rPr>
        <w:t xml:space="preserve"> </w:t>
      </w:r>
      <w:r>
        <w:rPr>
          <w:rFonts w:ascii="David" w:hAnsi="David" w:cs="David"/>
          <w:color w:val="000000"/>
          <w:sz w:val="18"/>
          <w:szCs w:val="18"/>
          <w:rtl/>
        </w:rPr>
        <w:t>. פהמ"ש לרמב"ם מקואות פ"א מ"ח ופרה שם; עי' רע"ב מקואות שם.</w:t>
      </w:r>
    </w:p>
  </w:footnote>
  <w:footnote w:id="19">
    <w:p w14:paraId="237E61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w:t>
      </w:r>
      <w:r>
        <w:rPr>
          <w:rFonts w:ascii="David" w:hAnsi="David" w:cs="David"/>
          <w:sz w:val="24"/>
          <w:szCs w:val="24"/>
          <w:rtl/>
        </w:rPr>
        <w:t xml:space="preserve"> </w:t>
      </w:r>
      <w:r>
        <w:rPr>
          <w:rFonts w:ascii="David" w:hAnsi="David" w:cs="David"/>
          <w:color w:val="000000"/>
          <w:sz w:val="18"/>
          <w:szCs w:val="18"/>
          <w:rtl/>
        </w:rPr>
        <w:t>. פרה שם.</w:t>
      </w:r>
    </w:p>
  </w:footnote>
  <w:footnote w:id="20">
    <w:p w14:paraId="4280F6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w:t>
      </w:r>
      <w:r>
        <w:rPr>
          <w:rFonts w:ascii="David" w:hAnsi="David" w:cs="David"/>
          <w:sz w:val="24"/>
          <w:szCs w:val="24"/>
          <w:rtl/>
        </w:rPr>
        <w:t xml:space="preserve"> </w:t>
      </w:r>
      <w:r>
        <w:rPr>
          <w:rFonts w:ascii="David" w:hAnsi="David" w:cs="David"/>
          <w:color w:val="000000"/>
          <w:sz w:val="18"/>
          <w:szCs w:val="18"/>
          <w:rtl/>
        </w:rPr>
        <w:t>. ר"ש שם ושם: ושמא. וע"ע הזאה (ב) ציון 37.</w:t>
      </w:r>
    </w:p>
  </w:footnote>
  <w:footnote w:id="21">
    <w:p w14:paraId="686A63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w:t>
      </w:r>
      <w:r>
        <w:rPr>
          <w:rFonts w:ascii="David" w:hAnsi="David" w:cs="David"/>
          <w:sz w:val="24"/>
          <w:szCs w:val="24"/>
          <w:rtl/>
        </w:rPr>
        <w:t xml:space="preserve"> </w:t>
      </w:r>
      <w:r>
        <w:rPr>
          <w:rFonts w:ascii="David" w:hAnsi="David" w:cs="David"/>
          <w:color w:val="000000"/>
          <w:sz w:val="18"/>
          <w:szCs w:val="18"/>
          <w:rtl/>
        </w:rPr>
        <w:t>. ציון 33 ואילך.</w:t>
      </w:r>
    </w:p>
  </w:footnote>
  <w:footnote w:id="22">
    <w:p w14:paraId="548458D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w:t>
      </w:r>
      <w:r>
        <w:rPr>
          <w:rFonts w:ascii="David" w:hAnsi="David" w:cs="David"/>
          <w:sz w:val="24"/>
          <w:szCs w:val="24"/>
          <w:rtl/>
        </w:rPr>
        <w:t xml:space="preserve"> </w:t>
      </w:r>
      <w:r>
        <w:rPr>
          <w:rFonts w:ascii="David" w:hAnsi="David" w:cs="David"/>
          <w:color w:val="000000"/>
          <w:sz w:val="18"/>
          <w:szCs w:val="18"/>
          <w:rtl/>
        </w:rPr>
        <w:t>. ציון 81. ועי' להלן ציון 33.</w:t>
      </w:r>
    </w:p>
  </w:footnote>
  <w:footnote w:id="23">
    <w:p w14:paraId="7451ED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w:t>
      </w:r>
      <w:r>
        <w:rPr>
          <w:rFonts w:ascii="David" w:hAnsi="David" w:cs="David"/>
          <w:sz w:val="24"/>
          <w:szCs w:val="24"/>
          <w:rtl/>
        </w:rPr>
        <w:t xml:space="preserve"> </w:t>
      </w:r>
      <w:r>
        <w:rPr>
          <w:rFonts w:ascii="David" w:hAnsi="David" w:cs="David"/>
          <w:color w:val="000000"/>
          <w:sz w:val="18"/>
          <w:szCs w:val="18"/>
          <w:rtl/>
        </w:rPr>
        <w:t>. עי' רע"ב פרה שם מ"י.</w:t>
      </w:r>
    </w:p>
  </w:footnote>
  <w:footnote w:id="24">
    <w:p w14:paraId="061131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w:t>
      </w:r>
      <w:r>
        <w:rPr>
          <w:rFonts w:ascii="David" w:hAnsi="David" w:cs="David"/>
          <w:sz w:val="24"/>
          <w:szCs w:val="24"/>
          <w:rtl/>
        </w:rPr>
        <w:t xml:space="preserve"> </w:t>
      </w:r>
      <w:r>
        <w:rPr>
          <w:rFonts w:ascii="David" w:hAnsi="David" w:cs="David"/>
          <w:color w:val="000000"/>
          <w:sz w:val="18"/>
          <w:szCs w:val="18"/>
          <w:rtl/>
        </w:rPr>
        <w:t>. ת"ק במשנה שם, וע"ש שר' יהודה פוסל אף בב' כשרים שנתערבו, ועי' להלן.</w:t>
      </w:r>
    </w:p>
  </w:footnote>
  <w:footnote w:id="25">
    <w:p w14:paraId="5CB13B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w:t>
      </w:r>
      <w:r>
        <w:rPr>
          <w:rFonts w:ascii="David" w:hAnsi="David" w:cs="David"/>
          <w:sz w:val="24"/>
          <w:szCs w:val="24"/>
          <w:rtl/>
        </w:rPr>
        <w:t xml:space="preserve"> </w:t>
      </w:r>
      <w:r>
        <w:rPr>
          <w:rFonts w:ascii="David" w:hAnsi="David" w:cs="David"/>
          <w:color w:val="000000"/>
          <w:sz w:val="18"/>
          <w:szCs w:val="18"/>
          <w:rtl/>
        </w:rPr>
        <w:t>. פרה שם.</w:t>
      </w:r>
    </w:p>
  </w:footnote>
  <w:footnote w:id="26">
    <w:p w14:paraId="1653D5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w:t>
      </w:r>
      <w:r>
        <w:rPr>
          <w:rFonts w:ascii="David" w:hAnsi="David" w:cs="David"/>
          <w:sz w:val="24"/>
          <w:szCs w:val="24"/>
          <w:rtl/>
        </w:rPr>
        <w:t xml:space="preserve"> </w:t>
      </w:r>
      <w:r>
        <w:rPr>
          <w:rFonts w:ascii="David" w:hAnsi="David" w:cs="David"/>
          <w:color w:val="000000"/>
          <w:sz w:val="18"/>
          <w:szCs w:val="18"/>
          <w:rtl/>
        </w:rPr>
        <w:t>. משנ"א שם. וע"ש שמטעם זה פסל ר' יהודה שם אפי' ב' כשרים שנתערבו (ועי' תוספ' פרה פ"ט, שדוקא ב' נהרות שנתערבו, ולא במילא מב' מעיינות, ועירב), שהואיל וקרואים מי תערובות חשוב שם לווי, ות"ק לא הכשיר אלא מפני שאי"ז שינוי בגוף המים אלא כקרואים ע"ש מקומם, עי' ציון 28, וע"ע כלאי בגדים ציון 1379. וצ"ב שמי תערובת יש לפסול משום עצם התערובת, וע"ע מים חיים.</w:t>
      </w:r>
    </w:p>
  </w:footnote>
  <w:footnote w:id="27">
    <w:p w14:paraId="291F30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w:t>
      </w:r>
      <w:r>
        <w:rPr>
          <w:rFonts w:ascii="David" w:hAnsi="David" w:cs="David"/>
          <w:sz w:val="24"/>
          <w:szCs w:val="24"/>
          <w:rtl/>
        </w:rPr>
        <w:t xml:space="preserve"> </w:t>
      </w:r>
      <w:r>
        <w:rPr>
          <w:rFonts w:ascii="David" w:hAnsi="David" w:cs="David"/>
          <w:color w:val="000000"/>
          <w:sz w:val="18"/>
          <w:szCs w:val="18"/>
          <w:rtl/>
        </w:rPr>
        <w:t>. ציון 217.</w:t>
      </w:r>
    </w:p>
  </w:footnote>
  <w:footnote w:id="28">
    <w:p w14:paraId="2C9FED1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w:t>
      </w:r>
      <w:r>
        <w:rPr>
          <w:rFonts w:ascii="David" w:hAnsi="David" w:cs="David"/>
          <w:sz w:val="24"/>
          <w:szCs w:val="24"/>
          <w:rtl/>
        </w:rPr>
        <w:t xml:space="preserve"> </w:t>
      </w:r>
      <w:r>
        <w:rPr>
          <w:rFonts w:ascii="David" w:hAnsi="David" w:cs="David"/>
          <w:color w:val="000000"/>
          <w:sz w:val="18"/>
          <w:szCs w:val="18"/>
          <w:rtl/>
        </w:rPr>
        <w:t>. משנ"א שם (ועי' ציון 26) ומ"ט, ותפא"י בועז שם, ע"פ סוכה יג א וחולין סב ב. וע"ע הנ"ל ציון 846 וע' מרור וע' תורים ובני יונה. וצ"ל שאינו דומה למי ביצים דלעיל, שמקומם מגדיר את מהותם.</w:t>
      </w:r>
    </w:p>
  </w:footnote>
  <w:footnote w:id="29">
    <w:p w14:paraId="0E580D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w:t>
      </w:r>
      <w:r>
        <w:rPr>
          <w:rFonts w:ascii="David" w:hAnsi="David" w:cs="David"/>
          <w:sz w:val="24"/>
          <w:szCs w:val="24"/>
          <w:rtl/>
        </w:rPr>
        <w:t xml:space="preserve"> </w:t>
      </w:r>
      <w:r>
        <w:rPr>
          <w:rFonts w:ascii="David" w:hAnsi="David" w:cs="David"/>
          <w:color w:val="000000"/>
          <w:sz w:val="18"/>
          <w:szCs w:val="18"/>
          <w:rtl/>
        </w:rPr>
        <w:t>. תפא"י שם, ע"פ סוכה וחולין שם.</w:t>
      </w:r>
    </w:p>
  </w:footnote>
  <w:footnote w:id="30">
    <w:p w14:paraId="63045EA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w:t>
      </w:r>
      <w:r>
        <w:rPr>
          <w:rFonts w:ascii="David" w:hAnsi="David" w:cs="David"/>
          <w:sz w:val="24"/>
          <w:szCs w:val="24"/>
          <w:rtl/>
        </w:rPr>
        <w:t xml:space="preserve"> </w:t>
      </w:r>
      <w:r>
        <w:rPr>
          <w:rFonts w:ascii="David" w:hAnsi="David" w:cs="David"/>
          <w:color w:val="000000"/>
          <w:sz w:val="18"/>
          <w:szCs w:val="18"/>
          <w:rtl/>
        </w:rPr>
        <w:t>. ויקרא שם.</w:t>
      </w:r>
    </w:p>
  </w:footnote>
  <w:footnote w:id="31">
    <w:p w14:paraId="39AF1D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w:t>
      </w:r>
      <w:r>
        <w:rPr>
          <w:rFonts w:ascii="David" w:hAnsi="David" w:cs="David"/>
          <w:sz w:val="24"/>
          <w:szCs w:val="24"/>
          <w:rtl/>
        </w:rPr>
        <w:t xml:space="preserve"> </w:t>
      </w:r>
      <w:r>
        <w:rPr>
          <w:rFonts w:ascii="David" w:hAnsi="David" w:cs="David"/>
          <w:color w:val="000000"/>
          <w:sz w:val="18"/>
          <w:szCs w:val="18"/>
          <w:rtl/>
        </w:rPr>
        <w:t>. ברייתא זבחים שם. וע"ע קרבנות.</w:t>
      </w:r>
    </w:p>
  </w:footnote>
  <w:footnote w:id="32">
    <w:p w14:paraId="0E164C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w:t>
      </w:r>
      <w:r>
        <w:rPr>
          <w:rFonts w:ascii="David" w:hAnsi="David" w:cs="David"/>
          <w:sz w:val="24"/>
          <w:szCs w:val="24"/>
          <w:rtl/>
        </w:rPr>
        <w:t xml:space="preserve"> </w:t>
      </w:r>
      <w:r>
        <w:rPr>
          <w:rFonts w:ascii="David" w:hAnsi="David" w:cs="David"/>
          <w:color w:val="000000"/>
          <w:sz w:val="18"/>
          <w:szCs w:val="18"/>
          <w:rtl/>
        </w:rPr>
        <w:t>. תפא"י שם, בד' רמב"ם מעה"ק פ"ו ה"ו, שכל המימות כשרים להדחה, ע"ע כיור ציון 124.</w:t>
      </w:r>
    </w:p>
  </w:footnote>
  <w:footnote w:id="33">
    <w:p w14:paraId="0884E28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w:t>
      </w:r>
      <w:r>
        <w:rPr>
          <w:rFonts w:ascii="David" w:hAnsi="David" w:cs="David"/>
          <w:sz w:val="24"/>
          <w:szCs w:val="24"/>
          <w:rtl/>
        </w:rPr>
        <w:t xml:space="preserve"> </w:t>
      </w:r>
      <w:r>
        <w:rPr>
          <w:rFonts w:ascii="David" w:hAnsi="David" w:cs="David"/>
          <w:color w:val="000000"/>
          <w:sz w:val="18"/>
          <w:szCs w:val="18"/>
          <w:rtl/>
        </w:rPr>
        <w:t>. תפא"י שם. ועי' תפא"י שם, שמ"מ אם נשתנו ממה שהיו בטבעם, פסולם משום שאינם מים חיים, ועי' לעיל.</w:t>
      </w:r>
    </w:p>
  </w:footnote>
  <w:footnote w:id="34">
    <w:p w14:paraId="6CF3D6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w:t>
      </w:r>
      <w:r>
        <w:rPr>
          <w:rFonts w:ascii="David" w:hAnsi="David" w:cs="David"/>
          <w:sz w:val="24"/>
          <w:szCs w:val="24"/>
          <w:rtl/>
        </w:rPr>
        <w:t xml:space="preserve"> </w:t>
      </w:r>
      <w:r>
        <w:rPr>
          <w:rFonts w:ascii="David" w:hAnsi="David" w:cs="David"/>
          <w:color w:val="000000"/>
          <w:sz w:val="18"/>
          <w:szCs w:val="18"/>
          <w:rtl/>
        </w:rPr>
        <w:t>. תפא"י שם, בד' רמב"ם שם. ועי' שפ"א ואהא"ז שם, שפי' שאף לד' תנא דבי שמואל דלעיל, אין פסול בשם לווי, ומי כיור כשרים, ולא אמר אלא שא"צ דוקא מי כיור. וע"ע הנ"ל ציון 125.</w:t>
      </w:r>
    </w:p>
  </w:footnote>
  <w:footnote w:id="35">
    <w:p w14:paraId="6172E4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w:t>
      </w:r>
      <w:r>
        <w:rPr>
          <w:rFonts w:ascii="David" w:hAnsi="David" w:cs="David"/>
          <w:sz w:val="24"/>
          <w:szCs w:val="24"/>
          <w:rtl/>
        </w:rPr>
        <w:t xml:space="preserve"> </w:t>
      </w:r>
      <w:r>
        <w:rPr>
          <w:rFonts w:ascii="David" w:hAnsi="David" w:cs="David"/>
          <w:color w:val="000000"/>
          <w:sz w:val="18"/>
          <w:szCs w:val="18"/>
          <w:rtl/>
        </w:rPr>
        <w:t>. ציון 1070.</w:t>
      </w:r>
    </w:p>
  </w:footnote>
  <w:footnote w:id="36">
    <w:p w14:paraId="0FBDB0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w:t>
      </w:r>
      <w:r>
        <w:rPr>
          <w:rFonts w:ascii="David" w:hAnsi="David" w:cs="David"/>
          <w:sz w:val="24"/>
          <w:szCs w:val="24"/>
          <w:rtl/>
        </w:rPr>
        <w:t xml:space="preserve"> </w:t>
      </w:r>
      <w:r>
        <w:rPr>
          <w:rFonts w:ascii="David" w:hAnsi="David" w:cs="David"/>
          <w:color w:val="000000"/>
          <w:sz w:val="18"/>
          <w:szCs w:val="18"/>
          <w:rtl/>
        </w:rPr>
        <w:t>. יומא מב א וב ורש"י שם; עי' רמב"ם פרה פ"י ה"ד וה. וע"ע הסח הדעת ציון 194 ואילך.</w:t>
      </w:r>
    </w:p>
  </w:footnote>
  <w:footnote w:id="37">
    <w:p w14:paraId="7B16CB1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w:t>
      </w:r>
      <w:r>
        <w:rPr>
          <w:rFonts w:ascii="David" w:hAnsi="David" w:cs="David"/>
          <w:sz w:val="24"/>
          <w:szCs w:val="24"/>
          <w:rtl/>
        </w:rPr>
        <w:t xml:space="preserve"> </w:t>
      </w:r>
      <w:r>
        <w:rPr>
          <w:rFonts w:ascii="David" w:hAnsi="David" w:cs="David"/>
          <w:color w:val="000000"/>
          <w:sz w:val="18"/>
          <w:szCs w:val="18"/>
          <w:rtl/>
        </w:rPr>
        <w:t>. במדבר יט ט. יומא שם ב. ועי' שו"מ קמא ח"ג סי' רטו, בד' הירושלמי והרמב"ם, שאינו פוסל אלא מדרבנן.</w:t>
      </w:r>
    </w:p>
  </w:footnote>
  <w:footnote w:id="38">
    <w:p w14:paraId="347932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w:t>
      </w:r>
      <w:r>
        <w:rPr>
          <w:rFonts w:ascii="David" w:hAnsi="David" w:cs="David"/>
          <w:sz w:val="24"/>
          <w:szCs w:val="24"/>
          <w:rtl/>
        </w:rPr>
        <w:t xml:space="preserve"> </w:t>
      </w:r>
      <w:r>
        <w:rPr>
          <w:rFonts w:ascii="David" w:hAnsi="David" w:cs="David"/>
          <w:color w:val="000000"/>
          <w:sz w:val="18"/>
          <w:szCs w:val="18"/>
          <w:rtl/>
        </w:rPr>
        <w:t>. עי' יומא שם א. ועי' ציון 49, על החילוק בין פרה לשאר קדשים.</w:t>
      </w:r>
    </w:p>
  </w:footnote>
  <w:footnote w:id="39">
    <w:p w14:paraId="289EC4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w:t>
      </w:r>
      <w:r>
        <w:rPr>
          <w:rFonts w:ascii="David" w:hAnsi="David" w:cs="David"/>
          <w:sz w:val="24"/>
          <w:szCs w:val="24"/>
          <w:rtl/>
        </w:rPr>
        <w:t xml:space="preserve"> </w:t>
      </w:r>
      <w:r>
        <w:rPr>
          <w:rFonts w:ascii="David" w:hAnsi="David" w:cs="David"/>
          <w:color w:val="000000"/>
          <w:sz w:val="18"/>
          <w:szCs w:val="18"/>
          <w:rtl/>
        </w:rPr>
        <w:t>. עי' יומא שם: למעוטי מאי וכו', ורש"י שם ד"ה למעוטי; עי' גיטין נג ב, ורש"י שם ד"ה מתניתא ותוס' שם ד"ה הא; עי' רמב"ם שם ושם.</w:t>
      </w:r>
    </w:p>
  </w:footnote>
  <w:footnote w:id="40">
    <w:p w14:paraId="6DE18C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w:t>
      </w:r>
      <w:r>
        <w:rPr>
          <w:rFonts w:ascii="David" w:hAnsi="David" w:cs="David"/>
          <w:sz w:val="24"/>
          <w:szCs w:val="24"/>
          <w:rtl/>
        </w:rPr>
        <w:t xml:space="preserve"> </w:t>
      </w:r>
      <w:r>
        <w:rPr>
          <w:rFonts w:ascii="David" w:hAnsi="David" w:cs="David"/>
          <w:color w:val="000000"/>
          <w:sz w:val="18"/>
          <w:szCs w:val="18"/>
          <w:rtl/>
        </w:rPr>
        <w:t>. עי' יומא מב א וב, ועי' ציון 62, שי"ס שמלאכה אינה פוסלת אלא אחר מילוי. ועי' ציון 332 ואילך.</w:t>
      </w:r>
    </w:p>
  </w:footnote>
  <w:footnote w:id="41">
    <w:p w14:paraId="00E223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w:t>
      </w:r>
      <w:r>
        <w:rPr>
          <w:rFonts w:ascii="David" w:hAnsi="David" w:cs="David"/>
          <w:sz w:val="24"/>
          <w:szCs w:val="24"/>
          <w:rtl/>
        </w:rPr>
        <w:t xml:space="preserve"> </w:t>
      </w:r>
      <w:r>
        <w:rPr>
          <w:rFonts w:ascii="David" w:hAnsi="David" w:cs="David"/>
          <w:color w:val="000000"/>
          <w:sz w:val="18"/>
          <w:szCs w:val="18"/>
          <w:rtl/>
        </w:rPr>
        <w:t>. עי' ציון 281.</w:t>
      </w:r>
    </w:p>
  </w:footnote>
  <w:footnote w:id="42">
    <w:p w14:paraId="7E873F2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w:t>
      </w:r>
      <w:r>
        <w:rPr>
          <w:rFonts w:ascii="David" w:hAnsi="David" w:cs="David"/>
          <w:sz w:val="24"/>
          <w:szCs w:val="24"/>
          <w:rtl/>
        </w:rPr>
        <w:t xml:space="preserve"> </w:t>
      </w:r>
      <w:r>
        <w:rPr>
          <w:rFonts w:ascii="David" w:hAnsi="David" w:cs="David"/>
          <w:color w:val="000000"/>
          <w:sz w:val="18"/>
          <w:szCs w:val="18"/>
          <w:rtl/>
        </w:rPr>
        <w:t>. חזו"א פרה סי' ו ס"ק ט, ועי' ציון 345.</w:t>
      </w:r>
    </w:p>
  </w:footnote>
  <w:footnote w:id="43">
    <w:p w14:paraId="258DF7B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w:t>
      </w:r>
      <w:r>
        <w:rPr>
          <w:rFonts w:ascii="David" w:hAnsi="David" w:cs="David"/>
          <w:sz w:val="24"/>
          <w:szCs w:val="24"/>
          <w:rtl/>
        </w:rPr>
        <w:t xml:space="preserve"> </w:t>
      </w:r>
      <w:r>
        <w:rPr>
          <w:rFonts w:ascii="David" w:hAnsi="David" w:cs="David"/>
          <w:color w:val="000000"/>
          <w:sz w:val="18"/>
          <w:szCs w:val="18"/>
          <w:rtl/>
        </w:rPr>
        <w:t>. עי' ציונים 709 ואילך, 727. עי' ר"ש פרה פ"ט מ"ג: יש לפרש, וע"ש שדחה (ועי' חזו"א שם סי' יג ס"ק ח, שאם שתה לדעת הבעלים אף לד' הר"ש חשוב היסה"ד, וע"ש במים מקודשים), ועי' רא"ש שם, ועי' ציון 77, ועי' רמב"ן חולין ט ב: י"מ, וע"ע הסח הדעת ציון 312. ועי' להלן ציונים 1245, 1334. על הבע"ח הפוסלים, עי' ציון 850 ואילך.</w:t>
      </w:r>
    </w:p>
  </w:footnote>
  <w:footnote w:id="44">
    <w:p w14:paraId="5265BA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w:t>
      </w:r>
      <w:r>
        <w:rPr>
          <w:rFonts w:ascii="David" w:hAnsi="David" w:cs="David"/>
          <w:sz w:val="24"/>
          <w:szCs w:val="24"/>
          <w:rtl/>
        </w:rPr>
        <w:t xml:space="preserve"> </w:t>
      </w:r>
      <w:r>
        <w:rPr>
          <w:rFonts w:ascii="David" w:hAnsi="David" w:cs="David"/>
          <w:color w:val="000000"/>
          <w:sz w:val="18"/>
          <w:szCs w:val="18"/>
          <w:rtl/>
        </w:rPr>
        <w:t>. ציונים 77, 259, 269 ואילך, 857 ואילך.</w:t>
      </w:r>
    </w:p>
  </w:footnote>
  <w:footnote w:id="45">
    <w:p w14:paraId="23AC790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w:t>
      </w:r>
      <w:r>
        <w:rPr>
          <w:rFonts w:ascii="David" w:hAnsi="David" w:cs="David"/>
          <w:sz w:val="24"/>
          <w:szCs w:val="24"/>
          <w:rtl/>
        </w:rPr>
        <w:t xml:space="preserve"> </w:t>
      </w:r>
      <w:r>
        <w:rPr>
          <w:rFonts w:ascii="David" w:hAnsi="David" w:cs="David"/>
          <w:color w:val="000000"/>
          <w:sz w:val="18"/>
          <w:szCs w:val="18"/>
          <w:rtl/>
        </w:rPr>
        <w:t>. ציון 264 ואילך, ועי' להלן ציון 960, ועי' חזו"א שם סי' ט ס"ק טו, שנסתפק אם היינו דוקא בטמא, לפי שאינו שומרו בטהרה, עי' להלן, או ה"ה במוסר לכל מי שפסול למילוי וקידוש, ועי' חזו"א סי' ו שם, שנ' שכ"ה בכל הפסולים, וע"ש סי' יא ס"ק ג, שקטן וכל הפסול למילוי, פסול לשמירה. ועי' ציון 603 ואילך, על הטמאים הפסולים למילוי וקידוש, ולכאו' ה"ה לענין שמירה.</w:t>
      </w:r>
    </w:p>
  </w:footnote>
  <w:footnote w:id="46">
    <w:p w14:paraId="2AABCE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w:t>
      </w:r>
      <w:r>
        <w:rPr>
          <w:rFonts w:ascii="David" w:hAnsi="David" w:cs="David"/>
          <w:sz w:val="24"/>
          <w:szCs w:val="24"/>
          <w:rtl/>
        </w:rPr>
        <w:t xml:space="preserve"> </w:t>
      </w:r>
      <w:r>
        <w:rPr>
          <w:rFonts w:ascii="David" w:hAnsi="David" w:cs="David"/>
          <w:color w:val="000000"/>
          <w:sz w:val="18"/>
          <w:szCs w:val="18"/>
          <w:rtl/>
        </w:rPr>
        <w:t>. חזו"א סי' ט שם.</w:t>
      </w:r>
    </w:p>
  </w:footnote>
  <w:footnote w:id="47">
    <w:p w14:paraId="1C1227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w:t>
      </w:r>
      <w:r>
        <w:rPr>
          <w:rFonts w:ascii="David" w:hAnsi="David" w:cs="David"/>
          <w:sz w:val="24"/>
          <w:szCs w:val="24"/>
          <w:rtl/>
        </w:rPr>
        <w:t xml:space="preserve"> </w:t>
      </w:r>
      <w:r>
        <w:rPr>
          <w:rFonts w:ascii="David" w:hAnsi="David" w:cs="David"/>
          <w:color w:val="000000"/>
          <w:sz w:val="18"/>
          <w:szCs w:val="18"/>
          <w:rtl/>
        </w:rPr>
        <w:t>. ציון 912 ואילך.</w:t>
      </w:r>
    </w:p>
  </w:footnote>
  <w:footnote w:id="48">
    <w:p w14:paraId="7F705A0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w:t>
      </w:r>
      <w:r>
        <w:rPr>
          <w:rFonts w:ascii="David" w:hAnsi="David" w:cs="David"/>
          <w:sz w:val="24"/>
          <w:szCs w:val="24"/>
          <w:rtl/>
        </w:rPr>
        <w:t xml:space="preserve"> </w:t>
      </w:r>
      <w:r>
        <w:rPr>
          <w:rFonts w:ascii="David" w:hAnsi="David" w:cs="David"/>
          <w:color w:val="000000"/>
          <w:sz w:val="18"/>
          <w:szCs w:val="18"/>
          <w:rtl/>
        </w:rPr>
        <w:t>. ע"ע הנ"ל ציון 7 ואילך.</w:t>
      </w:r>
    </w:p>
  </w:footnote>
  <w:footnote w:id="49">
    <w:p w14:paraId="143BF0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w:t>
      </w:r>
      <w:r>
        <w:rPr>
          <w:rFonts w:ascii="David" w:hAnsi="David" w:cs="David"/>
          <w:sz w:val="24"/>
          <w:szCs w:val="24"/>
          <w:rtl/>
        </w:rPr>
        <w:t xml:space="preserve"> </w:t>
      </w:r>
      <w:r>
        <w:rPr>
          <w:rFonts w:ascii="David" w:hAnsi="David" w:cs="David"/>
          <w:color w:val="000000"/>
          <w:sz w:val="18"/>
          <w:szCs w:val="18"/>
          <w:rtl/>
        </w:rPr>
        <w:t>. חזו"א שם סי' יא ס"ק א. וע"ש שכ"כ כלפי פסול מלאכה שבציון 60 ואילך, וכסוברים שהוא מדין היסה"ד, עי' ציון 69, וכעי"ז שם סי' ז ס"ק ח. ועי' אחיעזר ח"ב סי' א אות ה, שמחלק חילוקים נוספים בין פסול היסה"ד במי חטאת, לשאר קדשים. וע"ע הנ"ל ציון 207.</w:t>
      </w:r>
    </w:p>
  </w:footnote>
  <w:footnote w:id="50">
    <w:p w14:paraId="5A92C6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w:t>
      </w:r>
      <w:r>
        <w:rPr>
          <w:rFonts w:ascii="David" w:hAnsi="David" w:cs="David"/>
          <w:sz w:val="24"/>
          <w:szCs w:val="24"/>
          <w:rtl/>
        </w:rPr>
        <w:t xml:space="preserve"> </w:t>
      </w:r>
      <w:r>
        <w:rPr>
          <w:rFonts w:ascii="David" w:hAnsi="David" w:cs="David"/>
          <w:color w:val="000000"/>
          <w:sz w:val="18"/>
          <w:szCs w:val="18"/>
          <w:rtl/>
        </w:rPr>
        <w:t>. עי' אחיעזר שם אות ו, שצידד כן בד' רמב"ם שבציון 57, אבל מסקנתו אינה כן, ועי' ציון 1044; מק"ד טהרות סי' נא אות ב, אף לד' ראב"ד שבציון 56, ועי' אחיעזר שם, שצידד כן ודחה; חזו"א שם וס"ק י, וסי' ט ס"ק י, ושם בד' ראב"ד הנ"ל. ועי' אחרונים שם, שפסול זה הוא אף אחר נתינת האפר, ועי' ציון 56 ואילך.</w:t>
      </w:r>
    </w:p>
  </w:footnote>
  <w:footnote w:id="51">
    <w:p w14:paraId="4BE007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w:t>
      </w:r>
      <w:r>
        <w:rPr>
          <w:rFonts w:ascii="David" w:hAnsi="David" w:cs="David"/>
          <w:sz w:val="24"/>
          <w:szCs w:val="24"/>
          <w:rtl/>
        </w:rPr>
        <w:t xml:space="preserve"> </w:t>
      </w:r>
      <w:r>
        <w:rPr>
          <w:rFonts w:ascii="David" w:hAnsi="David" w:cs="David"/>
          <w:color w:val="000000"/>
          <w:sz w:val="18"/>
          <w:szCs w:val="18"/>
          <w:rtl/>
        </w:rPr>
        <w:t>. עי' חזו"א שם סי' יא ס"ק ב: מסתבר, וע"ש ע"פ גר"א שבציון 350, שאף אם מקצת המים שומר למי חטאת, אין להכשיר שאר המים, וע"ש ס"ק ו (ושם ובס"ק י, אם מחמת זה נפסלו כל המים), וסי' יד ס"ק ו; דעת יוסף פרה פ"ז מ"א, בד' ראב"ד פרה פ"ז ה"ג.</w:t>
      </w:r>
    </w:p>
  </w:footnote>
  <w:footnote w:id="52">
    <w:p w14:paraId="6C80F9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w:t>
      </w:r>
      <w:r>
        <w:rPr>
          <w:rFonts w:ascii="David" w:hAnsi="David" w:cs="David"/>
          <w:sz w:val="24"/>
          <w:szCs w:val="24"/>
          <w:rtl/>
        </w:rPr>
        <w:t xml:space="preserve"> </w:t>
      </w:r>
      <w:r>
        <w:rPr>
          <w:rFonts w:ascii="David" w:hAnsi="David" w:cs="David"/>
          <w:color w:val="000000"/>
          <w:sz w:val="18"/>
          <w:szCs w:val="18"/>
          <w:rtl/>
        </w:rPr>
        <w:t>. במדבר שם יז.</w:t>
      </w:r>
    </w:p>
  </w:footnote>
  <w:footnote w:id="53">
    <w:p w14:paraId="2AF587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w:t>
      </w:r>
      <w:r>
        <w:rPr>
          <w:rFonts w:ascii="David" w:hAnsi="David" w:cs="David"/>
          <w:sz w:val="24"/>
          <w:szCs w:val="24"/>
          <w:rtl/>
        </w:rPr>
        <w:t xml:space="preserve"> </w:t>
      </w:r>
      <w:r>
        <w:rPr>
          <w:rFonts w:ascii="David" w:hAnsi="David" w:cs="David"/>
          <w:color w:val="000000"/>
          <w:sz w:val="18"/>
          <w:szCs w:val="18"/>
          <w:rtl/>
        </w:rPr>
        <w:t>. עי' ציונים 332 ואילך, 498 ואילך.</w:t>
      </w:r>
    </w:p>
  </w:footnote>
  <w:footnote w:id="54">
    <w:p w14:paraId="286E70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w:t>
      </w:r>
      <w:r>
        <w:rPr>
          <w:rFonts w:ascii="David" w:hAnsi="David" w:cs="David"/>
          <w:sz w:val="24"/>
          <w:szCs w:val="24"/>
          <w:rtl/>
        </w:rPr>
        <w:t xml:space="preserve"> </w:t>
      </w:r>
      <w:r>
        <w:rPr>
          <w:rFonts w:ascii="David" w:hAnsi="David" w:cs="David"/>
          <w:color w:val="000000"/>
          <w:sz w:val="18"/>
          <w:szCs w:val="18"/>
          <w:rtl/>
        </w:rPr>
        <w:t>. דעת יוסף שם.</w:t>
      </w:r>
    </w:p>
  </w:footnote>
  <w:footnote w:id="55">
    <w:p w14:paraId="2FE40F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w:t>
      </w:r>
      <w:r>
        <w:rPr>
          <w:rFonts w:ascii="David" w:hAnsi="David" w:cs="David"/>
          <w:sz w:val="24"/>
          <w:szCs w:val="24"/>
          <w:rtl/>
        </w:rPr>
        <w:t xml:space="preserve"> </w:t>
      </w:r>
      <w:r>
        <w:rPr>
          <w:rFonts w:ascii="David" w:hAnsi="David" w:cs="David"/>
          <w:color w:val="000000"/>
          <w:sz w:val="18"/>
          <w:szCs w:val="18"/>
          <w:rtl/>
        </w:rPr>
        <w:t>. ציון 270 מתפא"י וחזו"א, וכ"ה בחס"ד פרה פ"ו ה"ח, ועי' אחרונים שם בציון 273 ואילך, שהם חולקים, ועי' אחיעזר שם, בביאור גמ' חולין ט ב, לפ"ז. ועי' להלן ציון 59.</w:t>
      </w:r>
    </w:p>
  </w:footnote>
  <w:footnote w:id="56">
    <w:p w14:paraId="5B411A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w:t>
      </w:r>
      <w:r>
        <w:rPr>
          <w:rFonts w:ascii="David" w:hAnsi="David" w:cs="David"/>
          <w:sz w:val="24"/>
          <w:szCs w:val="24"/>
          <w:rtl/>
        </w:rPr>
        <w:t xml:space="preserve"> </w:t>
      </w:r>
      <w:r>
        <w:rPr>
          <w:rFonts w:ascii="David" w:hAnsi="David" w:cs="David"/>
          <w:color w:val="000000"/>
          <w:sz w:val="18"/>
          <w:szCs w:val="18"/>
          <w:rtl/>
        </w:rPr>
        <w:t>. ראב"ד פרה פ"י ה"ד. ועי' ראב"ד שם פי"ג ה"ג, ועי' ר"ש פרה פ"ח מ"ב ותוי"ט ומשנ"א שם ומער"ק פרה שם וחזו"א פרה סי' ט ס"ק י, ועי' מרכה"מ ומים טהורים חרד"נ ורש"ש שם, שלד' הראב"ד דנים שם על מים שאינם מקודשים, ועי' ציון 50, שי"מ שאף אחר קידוש פוסל היסה"ד כשאר קדשים, ועי' ציונים 1044 ואילך, 1245, 1289, 1399. ועי' מנ"ח מ' שצט, שבשקל כנגד מי חטאת עם היסה"ד פוסל אף לשיטה זו, וצ"ב. ועי' ציון הבא. וע"ע הסח הדעת ציונים 263, 281.</w:t>
      </w:r>
    </w:p>
  </w:footnote>
  <w:footnote w:id="57">
    <w:p w14:paraId="6BB3C6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w:t>
      </w:r>
      <w:r>
        <w:rPr>
          <w:rFonts w:ascii="David" w:hAnsi="David" w:cs="David"/>
          <w:sz w:val="24"/>
          <w:szCs w:val="24"/>
          <w:rtl/>
        </w:rPr>
        <w:t xml:space="preserve"> </w:t>
      </w:r>
      <w:r>
        <w:rPr>
          <w:rFonts w:ascii="David" w:hAnsi="David" w:cs="David"/>
          <w:color w:val="000000"/>
          <w:sz w:val="18"/>
          <w:szCs w:val="18"/>
          <w:rtl/>
        </w:rPr>
        <w:t>. עי' תוס' פסחים יח א ד"ה בטלו וגיטין פו ב ד"ה כל; רמב"ם שם, ועי' כס"מ שם, וע"ע הנ"ל ציונים 275 ואילך, 299. ועי' מים טהורים חרד"ן פרה פ"ז מ"ה. ועי' שו"מ קמא ח"ג סי' רטו. ועי' להלן ציון 81 ואילך. ועי' ראב"ד שם, שהק' שהרי מלאכה אינה פוסלת אחר נתינת האפר, עי' ציון 66 ואילך, (וע"ש שי"ס שמדרבנן פוסלת), ועי' שמ"ק (אופק) חולין ט ב, ועי' ציון 69 ואילך, אם פסול מלאכה הוא משום היסה"ד, ושם בד' הרמב"ם, ועי' חס"ד פרה פ"ו ה"ח ויד דוד פסחים שם, ועי' ציון 50, וע"ע הנ"ל ציון 282. ועי' רמב"ן ומאירי חולין שם, ולהלן ציון 875 ואילך.</w:t>
      </w:r>
    </w:p>
  </w:footnote>
  <w:footnote w:id="58">
    <w:p w14:paraId="6AD9B1F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w:t>
      </w:r>
      <w:r>
        <w:rPr>
          <w:rFonts w:ascii="David" w:hAnsi="David" w:cs="David"/>
          <w:sz w:val="24"/>
          <w:szCs w:val="24"/>
          <w:rtl/>
        </w:rPr>
        <w:t xml:space="preserve"> </w:t>
      </w:r>
      <w:r>
        <w:rPr>
          <w:rFonts w:ascii="David" w:hAnsi="David" w:cs="David"/>
          <w:color w:val="000000"/>
          <w:sz w:val="18"/>
          <w:szCs w:val="18"/>
          <w:rtl/>
        </w:rPr>
        <w:t>. ציון 262 וע"ש ציון 263, שי"ס שאחר נתינת האפר פוסל מדרבנן.</w:t>
      </w:r>
    </w:p>
  </w:footnote>
  <w:footnote w:id="59">
    <w:p w14:paraId="3C8E1A5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w:t>
      </w:r>
      <w:r>
        <w:rPr>
          <w:rFonts w:ascii="David" w:hAnsi="David" w:cs="David"/>
          <w:sz w:val="24"/>
          <w:szCs w:val="24"/>
          <w:rtl/>
        </w:rPr>
        <w:t xml:space="preserve"> </w:t>
      </w:r>
      <w:r>
        <w:rPr>
          <w:rFonts w:ascii="David" w:hAnsi="David" w:cs="David"/>
          <w:color w:val="000000"/>
          <w:sz w:val="18"/>
          <w:szCs w:val="18"/>
          <w:rtl/>
        </w:rPr>
        <w:t>. ציון 272 ואילך. וע"ש ציון 207, שאף אם הפסול הוא דוקא בשעת עבודה, הפסול הוא בגוף המים, ולא בעבודה. ועי' להלן ציון 366. ועי' ציון 55, שי"ס שכשמונחים במקום שמור אינם נפסלים, ונקטו שכשאינם במקום שמור נפסלים אף שאינו עוסק בהם, ועי' ציון 875, שיש שנ' מדבריהם, שאין נפסל משום היסה"ד, אלא כשנמצאים במקום שיכול להיות בהם פסול. ועי' כנסת ישראל קובץ י ואילך, מבעל עמק ברכה.</w:t>
      </w:r>
    </w:p>
  </w:footnote>
  <w:footnote w:id="60">
    <w:p w14:paraId="329556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w:t>
      </w:r>
      <w:r>
        <w:rPr>
          <w:rFonts w:ascii="David" w:hAnsi="David" w:cs="David"/>
          <w:sz w:val="24"/>
          <w:szCs w:val="24"/>
          <w:rtl/>
        </w:rPr>
        <w:t xml:space="preserve"> </w:t>
      </w:r>
      <w:r>
        <w:rPr>
          <w:rFonts w:ascii="David" w:hAnsi="David" w:cs="David"/>
          <w:color w:val="000000"/>
          <w:sz w:val="18"/>
          <w:szCs w:val="18"/>
          <w:rtl/>
        </w:rPr>
        <w:t>. פרה פ"ד מ"ד; עי' רמב"ם פרה פ"ז ופ"ח.</w:t>
      </w:r>
    </w:p>
  </w:footnote>
  <w:footnote w:id="61">
    <w:p w14:paraId="263545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w:t>
      </w:r>
      <w:r>
        <w:rPr>
          <w:rFonts w:ascii="David" w:hAnsi="David" w:cs="David"/>
          <w:sz w:val="24"/>
          <w:szCs w:val="24"/>
          <w:rtl/>
        </w:rPr>
        <w:t xml:space="preserve"> </w:t>
      </w:r>
      <w:r>
        <w:rPr>
          <w:rFonts w:ascii="David" w:hAnsi="David" w:cs="David"/>
          <w:color w:val="000000"/>
          <w:sz w:val="18"/>
          <w:szCs w:val="18"/>
          <w:rtl/>
        </w:rPr>
        <w:t>. פהמ"ש לרמב"ם שם; ר"ש שם פ"ט מ"ג; רע"ב פ"ד שם. ועי' ציון 59, שי"ס שהיסה"ד אינו פוסל אלא בשעת מלאכה, או בשעה שמתעסק במים, ומ' שלדבריהם אף מלאכה אינה פוסלת אלא בזמנים אלו, וכ"נ ברמב"ם שם פ"ז ה"א, ועי' חזו"א פרה סי' ז ס"ק ט.</w:t>
      </w:r>
    </w:p>
  </w:footnote>
  <w:footnote w:id="62">
    <w:p w14:paraId="64B8133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w:t>
      </w:r>
      <w:r>
        <w:rPr>
          <w:rFonts w:ascii="David" w:hAnsi="David" w:cs="David"/>
          <w:sz w:val="24"/>
          <w:szCs w:val="24"/>
          <w:rtl/>
        </w:rPr>
        <w:t xml:space="preserve"> </w:t>
      </w:r>
      <w:r>
        <w:rPr>
          <w:rFonts w:ascii="David" w:hAnsi="David" w:cs="David"/>
          <w:color w:val="000000"/>
          <w:sz w:val="18"/>
          <w:szCs w:val="18"/>
          <w:rtl/>
        </w:rPr>
        <w:t>. חזו"א שם סי' יא ס"ק א, וע"ש ס"ק ה, שהיינו אפי' קודם הפסקת המים מהמעין, ועי' ציונים 124, 1051 ואילך. וע"ש אם הוא פסול בעבודת המילוי, או פסול במים, ועי' ציון 40. ועי' מק"ד טהרות סי' נא אות ב, שאינה פוסלת, אלא מסיום המילוי (ועי' ציון 40), ושאם כוונתו לערות לכלי אחר, עד שעירה אין המלאכה פוסלת, ועי' ציון 263, ואפשר שאף לדבריו פעמים שהוא פסול משום חסרון כוונה, עי' ציון 332 ואילך, ועי' חזו"א שם ס"ק ד, שבמלאכה אין פסול של חסרון כוונה.</w:t>
      </w:r>
    </w:p>
  </w:footnote>
  <w:footnote w:id="63">
    <w:p w14:paraId="04C53AE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w:t>
      </w:r>
      <w:r>
        <w:rPr>
          <w:rFonts w:ascii="David" w:hAnsi="David" w:cs="David"/>
          <w:sz w:val="24"/>
          <w:szCs w:val="24"/>
          <w:rtl/>
        </w:rPr>
        <w:t xml:space="preserve"> </w:t>
      </w:r>
      <w:r>
        <w:rPr>
          <w:rFonts w:ascii="David" w:hAnsi="David" w:cs="David"/>
          <w:color w:val="000000"/>
          <w:sz w:val="18"/>
          <w:szCs w:val="18"/>
          <w:rtl/>
        </w:rPr>
        <w:t>. ציון 75 ואילך.</w:t>
      </w:r>
    </w:p>
  </w:footnote>
  <w:footnote w:id="64">
    <w:p w14:paraId="1D70C22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w:t>
      </w:r>
      <w:r>
        <w:rPr>
          <w:rFonts w:ascii="David" w:hAnsi="David" w:cs="David"/>
          <w:sz w:val="24"/>
          <w:szCs w:val="24"/>
          <w:rtl/>
        </w:rPr>
        <w:t xml:space="preserve"> </w:t>
      </w:r>
      <w:r>
        <w:rPr>
          <w:rFonts w:ascii="David" w:hAnsi="David" w:cs="David"/>
          <w:color w:val="000000"/>
          <w:sz w:val="18"/>
          <w:szCs w:val="18"/>
          <w:rtl/>
        </w:rPr>
        <w:t>. במדבר יט ט. ספרי שם פיס' קכד.</w:t>
      </w:r>
    </w:p>
  </w:footnote>
  <w:footnote w:id="65">
    <w:p w14:paraId="09D501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w:t>
      </w:r>
      <w:r>
        <w:rPr>
          <w:rFonts w:ascii="David" w:hAnsi="David" w:cs="David"/>
          <w:sz w:val="24"/>
          <w:szCs w:val="24"/>
          <w:rtl/>
        </w:rPr>
        <w:t xml:space="preserve"> </w:t>
      </w:r>
      <w:r>
        <w:rPr>
          <w:rFonts w:ascii="David" w:hAnsi="David" w:cs="David"/>
          <w:color w:val="000000"/>
          <w:sz w:val="18"/>
          <w:szCs w:val="18"/>
          <w:rtl/>
        </w:rPr>
        <w:t>. ציון 199 ואילך. ועי' רמב"ם פרה פ"ז ה"א, שדברים אלו דברי קבלה.</w:t>
      </w:r>
    </w:p>
  </w:footnote>
  <w:footnote w:id="66">
    <w:p w14:paraId="4BAE03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w:t>
      </w:r>
      <w:r>
        <w:rPr>
          <w:rFonts w:ascii="David" w:hAnsi="David" w:cs="David"/>
          <w:sz w:val="24"/>
          <w:szCs w:val="24"/>
          <w:rtl/>
        </w:rPr>
        <w:t xml:space="preserve"> </w:t>
      </w:r>
      <w:r>
        <w:rPr>
          <w:rFonts w:ascii="David" w:hAnsi="David" w:cs="David"/>
          <w:color w:val="000000"/>
          <w:sz w:val="18"/>
          <w:szCs w:val="18"/>
          <w:rtl/>
        </w:rPr>
        <w:t>. עי' פרה שם; עי' ספרי שם; עי' רמב"ם שם. ועי' ציון 537, שי"מ שהיינו עד שעת העירוב. וע"ע הנ"ל ציון 201 ואילך. וע"ש ציונים 247, 298.</w:t>
      </w:r>
    </w:p>
  </w:footnote>
  <w:footnote w:id="67">
    <w:p w14:paraId="6DC7E0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w:t>
      </w:r>
      <w:r>
        <w:rPr>
          <w:rFonts w:ascii="David" w:hAnsi="David" w:cs="David"/>
          <w:sz w:val="24"/>
          <w:szCs w:val="24"/>
          <w:rtl/>
        </w:rPr>
        <w:t xml:space="preserve"> </w:t>
      </w:r>
      <w:r>
        <w:rPr>
          <w:rFonts w:ascii="David" w:hAnsi="David" w:cs="David"/>
          <w:color w:val="000000"/>
          <w:sz w:val="18"/>
          <w:szCs w:val="18"/>
          <w:rtl/>
        </w:rPr>
        <w:t>. ספרי שם.</w:t>
      </w:r>
    </w:p>
  </w:footnote>
  <w:footnote w:id="68">
    <w:p w14:paraId="27F1A5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w:t>
      </w:r>
      <w:r>
        <w:rPr>
          <w:rFonts w:ascii="David" w:hAnsi="David" w:cs="David"/>
          <w:sz w:val="24"/>
          <w:szCs w:val="24"/>
          <w:rtl/>
        </w:rPr>
        <w:t xml:space="preserve"> </w:t>
      </w:r>
      <w:r>
        <w:rPr>
          <w:rFonts w:ascii="David" w:hAnsi="David" w:cs="David"/>
          <w:color w:val="000000"/>
          <w:sz w:val="18"/>
          <w:szCs w:val="18"/>
          <w:rtl/>
        </w:rPr>
        <w:t>. ציון 205, וע"ש ציון 263. וע"ש ציון 262, שי"ס שאחר המילוי וקודם קידוש, אין פוסל אלא מדרבנן. ועי' להלן ציון 82.</w:t>
      </w:r>
    </w:p>
  </w:footnote>
  <w:footnote w:id="69">
    <w:p w14:paraId="7C56B6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w:t>
      </w:r>
      <w:r>
        <w:rPr>
          <w:rFonts w:ascii="David" w:hAnsi="David" w:cs="David"/>
          <w:sz w:val="24"/>
          <w:szCs w:val="24"/>
          <w:rtl/>
        </w:rPr>
        <w:t xml:space="preserve"> </w:t>
      </w:r>
      <w:r>
        <w:rPr>
          <w:rFonts w:ascii="David" w:hAnsi="David" w:cs="David"/>
          <w:color w:val="000000"/>
          <w:sz w:val="18"/>
          <w:szCs w:val="18"/>
          <w:rtl/>
        </w:rPr>
        <w:t>. ע"ע הנ"ל ציון 211, שכ"ד הראב"ד (וכ"כ רמב"ן חולין ט ב ומאירי שם וגיטין נג א), וע"ש ציון 212, שי"ס שכן אף ד' הרמב"ם, וכ"ד תפא"י שם פ"ז אות טז (וע"ש בועז אות ו) וחס"ד פרה פ"ו ה"ח, וע"ע הנ"ל ציונים 223, 228 ואילך, 281. ועי' מק"ד טהרות סי' נא אות ב. ועי' חזו"א שם סי' ז ס"ק ח, וע"ע הנ"ל ציון 282. ועי' לעיל ציון 57. ועי' כנסת ישראל קובץ יא ואילך, מבעל עמק ברכה.</w:t>
      </w:r>
    </w:p>
  </w:footnote>
  <w:footnote w:id="70">
    <w:p w14:paraId="25B460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w:t>
      </w:r>
      <w:r>
        <w:rPr>
          <w:rFonts w:ascii="David" w:hAnsi="David" w:cs="David"/>
          <w:sz w:val="24"/>
          <w:szCs w:val="24"/>
          <w:rtl/>
        </w:rPr>
        <w:t xml:space="preserve"> </w:t>
      </w:r>
      <w:r>
        <w:rPr>
          <w:rFonts w:ascii="David" w:hAnsi="David" w:cs="David"/>
          <w:color w:val="000000"/>
          <w:sz w:val="18"/>
          <w:szCs w:val="18"/>
          <w:rtl/>
        </w:rPr>
        <w:t>. ראב"ד פרה פ"ז ה"ג; מאירי שם. ועי' כס"מ שם, שמ' קצת שפי' ד' הראב"ד שאינו פסול אלא כשבפועל הסיח דעתו, וכעי"ז בחזו"נ פרה פ"ז מ"ב ובחס"ד שם, וכ"נ ברא"ש שם פ"ד מ"ב, ועי' חזו"א שם וסי' ט ס"ק י, שהוא פסול אף כשלא הסיח דעתו כלל, ועי' ראב"ד שם פ"ח ה"ה.</w:t>
      </w:r>
    </w:p>
  </w:footnote>
  <w:footnote w:id="71">
    <w:p w14:paraId="13EA473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w:t>
      </w:r>
      <w:r>
        <w:rPr>
          <w:rFonts w:ascii="David" w:hAnsi="David" w:cs="David"/>
          <w:sz w:val="24"/>
          <w:szCs w:val="24"/>
          <w:rtl/>
        </w:rPr>
        <w:t xml:space="preserve"> </w:t>
      </w:r>
      <w:r>
        <w:rPr>
          <w:rFonts w:ascii="David" w:hAnsi="David" w:cs="David"/>
          <w:color w:val="000000"/>
          <w:sz w:val="18"/>
          <w:szCs w:val="18"/>
          <w:rtl/>
        </w:rPr>
        <w:t>. חזו"א סי' ז שם.</w:t>
      </w:r>
    </w:p>
  </w:footnote>
  <w:footnote w:id="72">
    <w:p w14:paraId="1DBAD1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w:t>
      </w:r>
      <w:r>
        <w:rPr>
          <w:rFonts w:ascii="David" w:hAnsi="David" w:cs="David"/>
          <w:sz w:val="24"/>
          <w:szCs w:val="24"/>
          <w:rtl/>
        </w:rPr>
        <w:t xml:space="preserve"> </w:t>
      </w:r>
      <w:r>
        <w:rPr>
          <w:rFonts w:ascii="David" w:hAnsi="David" w:cs="David"/>
          <w:color w:val="000000"/>
          <w:sz w:val="18"/>
          <w:szCs w:val="18"/>
          <w:rtl/>
        </w:rPr>
        <w:t>. ע"ע הנ"ל ציון 212. ועי' חזו"נ ורש"ש פרה שם.</w:t>
      </w:r>
    </w:p>
  </w:footnote>
  <w:footnote w:id="73">
    <w:p w14:paraId="2315A1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w:t>
      </w:r>
      <w:r>
        <w:rPr>
          <w:rFonts w:ascii="David" w:hAnsi="David" w:cs="David"/>
          <w:sz w:val="24"/>
          <w:szCs w:val="24"/>
          <w:rtl/>
        </w:rPr>
        <w:t xml:space="preserve"> </w:t>
      </w:r>
      <w:r>
        <w:rPr>
          <w:rFonts w:ascii="David" w:hAnsi="David" w:cs="David"/>
          <w:color w:val="000000"/>
          <w:sz w:val="18"/>
          <w:szCs w:val="18"/>
          <w:rtl/>
        </w:rPr>
        <w:t>. ציונים 352, 369.</w:t>
      </w:r>
    </w:p>
  </w:footnote>
  <w:footnote w:id="74">
    <w:p w14:paraId="0FD09C5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w:t>
      </w:r>
      <w:r>
        <w:rPr>
          <w:rFonts w:ascii="David" w:hAnsi="David" w:cs="David"/>
          <w:sz w:val="24"/>
          <w:szCs w:val="24"/>
          <w:rtl/>
        </w:rPr>
        <w:t xml:space="preserve"> </w:t>
      </w:r>
      <w:r>
        <w:rPr>
          <w:rFonts w:ascii="David" w:hAnsi="David" w:cs="David"/>
          <w:color w:val="000000"/>
          <w:sz w:val="18"/>
          <w:szCs w:val="18"/>
          <w:rtl/>
        </w:rPr>
        <w:t>. ציונים 208 ואילך, 210, 213, 214 ואילך, 216 ואילך, 224 ואילך, 230 ואילך, 247, 248 ואילך, 258 ואילך, 261 ואילך, 275 ואילך, 283 ואילך, 292 ואילך, 300 ואילך, 314.</w:t>
      </w:r>
    </w:p>
  </w:footnote>
  <w:footnote w:id="75">
    <w:p w14:paraId="510B3C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w:t>
      </w:r>
      <w:r>
        <w:rPr>
          <w:rFonts w:ascii="David" w:hAnsi="David" w:cs="David"/>
          <w:sz w:val="24"/>
          <w:szCs w:val="24"/>
          <w:rtl/>
        </w:rPr>
        <w:t xml:space="preserve"> </w:t>
      </w:r>
      <w:r>
        <w:rPr>
          <w:rFonts w:ascii="David" w:hAnsi="David" w:cs="David"/>
          <w:color w:val="000000"/>
          <w:sz w:val="18"/>
          <w:szCs w:val="18"/>
          <w:rtl/>
        </w:rPr>
        <w:t>. גיטין נג ב; עי' רמב"ם פרה פ"י ה"ה.</w:t>
      </w:r>
    </w:p>
  </w:footnote>
  <w:footnote w:id="76">
    <w:p w14:paraId="370CB01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w:t>
      </w:r>
      <w:r>
        <w:rPr>
          <w:rFonts w:ascii="David" w:hAnsi="David" w:cs="David"/>
          <w:sz w:val="24"/>
          <w:szCs w:val="24"/>
          <w:rtl/>
        </w:rPr>
        <w:t xml:space="preserve"> </w:t>
      </w:r>
      <w:r>
        <w:rPr>
          <w:rFonts w:ascii="David" w:hAnsi="David" w:cs="David"/>
          <w:color w:val="000000"/>
          <w:sz w:val="18"/>
          <w:szCs w:val="18"/>
          <w:rtl/>
        </w:rPr>
        <w:t>. ציון 294 ואילך.</w:t>
      </w:r>
    </w:p>
  </w:footnote>
  <w:footnote w:id="77">
    <w:p w14:paraId="7CCD5B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w:t>
      </w:r>
      <w:r>
        <w:rPr>
          <w:rFonts w:ascii="David" w:hAnsi="David" w:cs="David"/>
          <w:sz w:val="24"/>
          <w:szCs w:val="24"/>
          <w:rtl/>
        </w:rPr>
        <w:t xml:space="preserve"> </w:t>
      </w:r>
      <w:r>
        <w:rPr>
          <w:rFonts w:ascii="David" w:hAnsi="David" w:cs="David"/>
          <w:color w:val="000000"/>
          <w:sz w:val="18"/>
          <w:szCs w:val="18"/>
          <w:rtl/>
        </w:rPr>
        <w:t>. עי' ציונים 709 ואילך, 727. רש"י חולין ט ב ד"ה אם (הא') בפי' הא', ושם סב ב ד"ה פוסלין וד"ה תסיל, ותוס' פסחים יח א ד"ה בטלו, ועי' ר"ש פרה פ"ט מ"ג שדחה, ועי' רא"ש שם, ועי' ציון 43, ועי' רמב"ן חולין שם, שאין זה חשוב מלאכה, ועי' חזו"א פרה סי' ז ס"ק יד, אם מלאכה שע"י אחר אוסרת, (ועי' תוס' גיטין נג א, שמ' קצת שדינו כעושה מלאכה בפרה - אדומה, ע"ע, ועי' משנ"א פרה פ"ז מ"א, אבל לכאו' כל הנידון אינו אלא במלאכה בגוף המים), וע"ש סי' יג ס"ק ח, שפי' לסוברים שמלאכה פוסלת אף אחר קידוש, אבל תוס' להלן אינם סוברים כן, ועי' להלן בד' רש"י. ועי' ציון 1334. על הבע"ח הפוסלים, עי' ציון 850 ואילך.</w:t>
      </w:r>
    </w:p>
  </w:footnote>
  <w:footnote w:id="78">
    <w:p w14:paraId="6D3AEC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w:t>
      </w:r>
      <w:r>
        <w:rPr>
          <w:rFonts w:ascii="David" w:hAnsi="David" w:cs="David"/>
          <w:sz w:val="24"/>
          <w:szCs w:val="24"/>
          <w:rtl/>
        </w:rPr>
        <w:t xml:space="preserve"> </w:t>
      </w:r>
      <w:r>
        <w:rPr>
          <w:rFonts w:ascii="David" w:hAnsi="David" w:cs="David"/>
          <w:color w:val="000000"/>
          <w:sz w:val="18"/>
          <w:szCs w:val="18"/>
          <w:rtl/>
        </w:rPr>
        <w:t>. ציונים 43, 259, 269 ואילך, 857 ואילך.</w:t>
      </w:r>
    </w:p>
  </w:footnote>
  <w:footnote w:id="79">
    <w:p w14:paraId="087C9A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w:t>
      </w:r>
      <w:r>
        <w:rPr>
          <w:rFonts w:ascii="David" w:hAnsi="David" w:cs="David"/>
          <w:sz w:val="24"/>
          <w:szCs w:val="24"/>
          <w:rtl/>
        </w:rPr>
        <w:t xml:space="preserve"> </w:t>
      </w:r>
      <w:r>
        <w:rPr>
          <w:rFonts w:ascii="David" w:hAnsi="David" w:cs="David"/>
          <w:color w:val="000000"/>
          <w:sz w:val="18"/>
          <w:szCs w:val="18"/>
          <w:rtl/>
        </w:rPr>
        <w:t>. ר"ש ורא"ש פרה פ"ט מ"ג. ועי' רש"י ותוס' ורשב"א שבציון 82, שלדעתם לומדים כן מהכתוב: למשמרת, עי' ציון 64, ועי' רש"י שם, שהיינו למשמרת למי נדה ולא לדבר אחר, ועי' ציון 69 ואילך, שנחלקו בגדר הנלמד מלמשמרת. ועי' חזו"א סי' ז שם, ועי' ציון הבא. וע"ע הסח הדעת ציון 296.</w:t>
      </w:r>
    </w:p>
  </w:footnote>
  <w:footnote w:id="80">
    <w:p w14:paraId="2F50A20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w:t>
      </w:r>
      <w:r>
        <w:rPr>
          <w:rFonts w:ascii="David" w:hAnsi="David" w:cs="David"/>
          <w:sz w:val="24"/>
          <w:szCs w:val="24"/>
          <w:rtl/>
        </w:rPr>
        <w:t xml:space="preserve"> </w:t>
      </w:r>
      <w:r>
        <w:rPr>
          <w:rFonts w:ascii="David" w:hAnsi="David" w:cs="David"/>
          <w:color w:val="000000"/>
          <w:sz w:val="18"/>
          <w:szCs w:val="18"/>
          <w:rtl/>
        </w:rPr>
        <w:t>. חזו"א שם ס"ק י, בד' הרמב"ם. ועי' חזו"נ פרה פ"ז מ"ב, ב' פי' בד' הרמב"ם.</w:t>
      </w:r>
    </w:p>
  </w:footnote>
  <w:footnote w:id="81">
    <w:p w14:paraId="4365EE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w:t>
      </w:r>
      <w:r>
        <w:rPr>
          <w:rFonts w:ascii="David" w:hAnsi="David" w:cs="David"/>
          <w:sz w:val="24"/>
          <w:szCs w:val="24"/>
          <w:rtl/>
        </w:rPr>
        <w:t xml:space="preserve"> </w:t>
      </w:r>
      <w:r>
        <w:rPr>
          <w:rFonts w:ascii="David" w:hAnsi="David" w:cs="David"/>
          <w:color w:val="000000"/>
          <w:sz w:val="18"/>
          <w:szCs w:val="18"/>
          <w:rtl/>
        </w:rPr>
        <w:t>. ע"ע פרה אדומה. ראב"ד פרה פ"ז ה"ג. ועי' חזו"א שם, שתמה בטעם זה, וכ' שהוא מדרבנן, ואין לנו טעם לגזירה זו. ועי' להלן ציון 83. ועי' תוס' שבציון הבא, שאין פוסל אחר קידוש, ועי' ציון 57, שלדעתם היסה"ד פוסל אחר קידוש. ועי' מק"ד טהרות סי' נא אות ב, שתמה למה אין אומרים, שהם נפסלים משום שע"י מלאכה אינו חשוב מים - חיים, ע"ע, ועי' חזו"א שם ס"ק יד, ולעיל ציון 11.</w:t>
      </w:r>
    </w:p>
  </w:footnote>
  <w:footnote w:id="82">
    <w:p w14:paraId="386CD8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w:t>
      </w:r>
      <w:r>
        <w:rPr>
          <w:rFonts w:ascii="David" w:hAnsi="David" w:cs="David"/>
          <w:sz w:val="24"/>
          <w:szCs w:val="24"/>
          <w:rtl/>
        </w:rPr>
        <w:t xml:space="preserve"> </w:t>
      </w:r>
      <w:r>
        <w:rPr>
          <w:rFonts w:ascii="David" w:hAnsi="David" w:cs="David"/>
          <w:color w:val="000000"/>
          <w:sz w:val="18"/>
          <w:szCs w:val="18"/>
          <w:rtl/>
        </w:rPr>
        <w:t>. עי' רש"י גיטין נג א ד"ה מי (וע"ש יומא יד א ד"ה לא, וציון 1187, וחזו"א שם וקה"י טהרות סי' לו אות א, ואולי אין כוונתו לפסול מלאכה ממש, שא"כ מה כ': וא"צ לחזור ולהטביל, שמ' שכהוא שחוזר וטובל האזוב ודאי מועיל, הרי נפסל בתערובת, ועי' ציון 727), ותוס' פסחים שם, וגיטין פו ב ד"ה כל, וב"ק נו א ד"ה העושה, ושם צח א ד"ה הא, ותו"י ותוס' הרא"ש יומא שם, ורשב"א גיטין נג א, שפי' משנה וספרי שבציון 60 ואילך, בעושה מלאכה בגופם, ועי' ריטב"א יומא שם, ובהערות שם; תוס' שאנץ בשמ"ק חולין ט ב, ע"ש שהאריך, וע"ש ותו"י ותוס' הרא"ש שם, שצידדו לומר שמדרבנן פוסל, ועי' ציון 68. וכ"נ בר"ש פרה פ"ט מ"ג ועי' רא"ש שם, וחזו"א שם ושם בדעתם (וצ"ל בסי' יג שם: אלא קודם קידוש). וע"ע הסח הדעת ציון 298.</w:t>
      </w:r>
    </w:p>
  </w:footnote>
  <w:footnote w:id="83">
    <w:p w14:paraId="42B9A9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w:t>
      </w:r>
      <w:r>
        <w:rPr>
          <w:rFonts w:ascii="David" w:hAnsi="David" w:cs="David"/>
          <w:sz w:val="24"/>
          <w:szCs w:val="24"/>
          <w:rtl/>
        </w:rPr>
        <w:t xml:space="preserve"> </w:t>
      </w:r>
      <w:r>
        <w:rPr>
          <w:rFonts w:ascii="David" w:hAnsi="David" w:cs="David"/>
          <w:color w:val="000000"/>
          <w:sz w:val="18"/>
          <w:szCs w:val="18"/>
          <w:rtl/>
        </w:rPr>
        <w:t>. עי' גאון בשמ"ק ב"ק שם; ע"ע הנ"ל ציון 299, וע"ש מחזו"א (ס"ק י), שכ"ה לד' ראב"ד דלעיל ציון 81; עי' מנ"ח מ' שצט, ושם וחזו"א סי' יג שם וסי' ז ס"ק י ויד וסי' ט ס"ק י שכ"ד רמב"ם וראב"ד. ועי' לעיל שי"ס שהוא פסול משום היסה"ד, ועי' ציון 57, שי"ס שהיסה"ד פוסל אחר קידוש. ועי' רש"י יומא שם ד"ה לא ותו"י ותוס' הרא"ש שם בדעתו.</w:t>
      </w:r>
    </w:p>
  </w:footnote>
  <w:footnote w:id="84">
    <w:p w14:paraId="67A92E0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w:t>
      </w:r>
      <w:r>
        <w:rPr>
          <w:rFonts w:ascii="David" w:hAnsi="David" w:cs="David"/>
          <w:sz w:val="24"/>
          <w:szCs w:val="24"/>
          <w:rtl/>
        </w:rPr>
        <w:t xml:space="preserve"> </w:t>
      </w:r>
      <w:r>
        <w:rPr>
          <w:rFonts w:ascii="David" w:hAnsi="David" w:cs="David"/>
          <w:color w:val="000000"/>
          <w:sz w:val="18"/>
          <w:szCs w:val="18"/>
          <w:rtl/>
        </w:rPr>
        <w:t>. עי' ראשונים דלהלן; עי' ראשונים שבציון 857, שלא פסלו שתיית בהמה כשהיא מקיאה, אלא משום שהיא מקיאה מהרוק, ומ' שהמים שבפיה אין נפסלים, אבל אפשר שאים סוברים שהיא מקיאה ממי החטאת, עי' רמב"ן שבציון 269; עי' ראשונים שבציון 1334, שמים שבפי פרה אין נפסלים, אבל אפשר שאף אם הם פסולים אין זה פסול בעצם, לבטל טומאתם, ועי' ציון הנ"ל; עי' ציון 893 ואילך, במים שבספוג, ועי' להלן. ומ' שאף בשעה שאינם בכלי אינם פסולים בעצם, שא"כ היו נדחים אף כשחזרו לכלי, עי' ציון 89 ואילך. ועי' תוס' גיטין פח ב ד"ה כל, שנ' שצריך שתהא חיותו בכלי אף אחר קידוש (ועי' ציון 271), ועי' רש"ש שם שתמה.</w:t>
      </w:r>
    </w:p>
  </w:footnote>
  <w:footnote w:id="85">
    <w:p w14:paraId="6058A7A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w:t>
      </w:r>
      <w:r>
        <w:rPr>
          <w:rFonts w:ascii="David" w:hAnsi="David" w:cs="David"/>
          <w:sz w:val="24"/>
          <w:szCs w:val="24"/>
          <w:rtl/>
        </w:rPr>
        <w:t xml:space="preserve"> </w:t>
      </w:r>
      <w:r>
        <w:rPr>
          <w:rFonts w:ascii="David" w:hAnsi="David" w:cs="David"/>
          <w:color w:val="000000"/>
          <w:sz w:val="18"/>
          <w:szCs w:val="18"/>
          <w:rtl/>
        </w:rPr>
        <w:t>. עי' פהמ"ש לרמב"ם ורע"ב פרה פי"ב מ"ג, בביאור משנה שם, ורמב"ם פרה פ"י ה"ח וט, ועי' ציון 1187; חזו"א פרה סי' טו ס"ק ג, ע"פ תוספ' שם פי"ב בטבל בלילה. ועי' בהגר"א שם ה"ב, וחזו"א שם.</w:t>
      </w:r>
    </w:p>
  </w:footnote>
  <w:footnote w:id="86">
    <w:p w14:paraId="44247F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w:t>
      </w:r>
      <w:r>
        <w:rPr>
          <w:rFonts w:ascii="David" w:hAnsi="David" w:cs="David"/>
          <w:sz w:val="24"/>
          <w:szCs w:val="24"/>
          <w:rtl/>
        </w:rPr>
        <w:t xml:space="preserve"> </w:t>
      </w:r>
      <w:r>
        <w:rPr>
          <w:rFonts w:ascii="David" w:hAnsi="David" w:cs="David"/>
          <w:color w:val="000000"/>
          <w:sz w:val="18"/>
          <w:szCs w:val="18"/>
          <w:rtl/>
        </w:rPr>
        <w:t>. עי' ציון 36 ואילך, ועי' ציון 56 ואילך, אם פוסל אחר קידוש. עי' ראשונים שבציון 1044, ואפשר שדוקא כשנפלו על סנדל חשוב היסה"ד; עי' ציון 1398, ואפשר שדוקא בנתערבו עם מים אחרים, יש בכך היסה"ד. ועי' ציון 93, בנעשית מצותם, וציונים 1389 ואילך, 1408 ואילך, שדנו באופנים שונים אם חשוב שנעשית מצותם, ומ' שאף בנשפכו לא בטלו אם לא נעשית מצותם, ועי' להלן, ועי' חזו"א שם סי' ו ס"ק ז (הא').</w:t>
      </w:r>
    </w:p>
  </w:footnote>
  <w:footnote w:id="87">
    <w:p w14:paraId="474E1F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w:t>
      </w:r>
      <w:r>
        <w:rPr>
          <w:rFonts w:ascii="David" w:hAnsi="David" w:cs="David"/>
          <w:sz w:val="24"/>
          <w:szCs w:val="24"/>
          <w:rtl/>
        </w:rPr>
        <w:t xml:space="preserve"> </w:t>
      </w:r>
      <w:r>
        <w:rPr>
          <w:rFonts w:ascii="David" w:hAnsi="David" w:cs="David"/>
          <w:color w:val="000000"/>
          <w:sz w:val="18"/>
          <w:szCs w:val="18"/>
          <w:rtl/>
        </w:rPr>
        <w:t>. עי' רמב"ם שם ה"ט: אם נטפו בכלי, ומ' שאם נטפו בקרקע, אין מועיל שיאספם בכלי; עי' כס"מ שם פ"ט ה"ה בשם ר"י קורקוס, ועי' ציון 91, ועי' או"ש שבציון הנ"ל, ועי' כס"מ שם, שהשוה מים שבספוג למים שנפלו, ועי' לעיל שי"ח במים שבספוג, ואפשר שלדבריהם אינם כמים שנפלו.</w:t>
      </w:r>
    </w:p>
  </w:footnote>
  <w:footnote w:id="88">
    <w:p w14:paraId="1B275C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w:t>
      </w:r>
      <w:r>
        <w:rPr>
          <w:rFonts w:ascii="David" w:hAnsi="David" w:cs="David"/>
          <w:sz w:val="24"/>
          <w:szCs w:val="24"/>
          <w:rtl/>
        </w:rPr>
        <w:t xml:space="preserve"> </w:t>
      </w:r>
      <w:r>
        <w:rPr>
          <w:rFonts w:ascii="David" w:hAnsi="David" w:cs="David"/>
          <w:color w:val="000000"/>
          <w:sz w:val="18"/>
          <w:szCs w:val="18"/>
          <w:rtl/>
        </w:rPr>
        <w:t>. ציון 267 ואילך.</w:t>
      </w:r>
    </w:p>
  </w:footnote>
  <w:footnote w:id="89">
    <w:p w14:paraId="501F45E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w:t>
      </w:r>
      <w:r>
        <w:rPr>
          <w:rFonts w:ascii="David" w:hAnsi="David" w:cs="David"/>
          <w:sz w:val="24"/>
          <w:szCs w:val="24"/>
          <w:rtl/>
        </w:rPr>
        <w:t xml:space="preserve"> </w:t>
      </w:r>
      <w:r>
        <w:rPr>
          <w:rFonts w:ascii="David" w:hAnsi="David" w:cs="David"/>
          <w:color w:val="000000"/>
          <w:sz w:val="18"/>
          <w:szCs w:val="18"/>
          <w:rtl/>
        </w:rPr>
        <w:t>. ע"ע דחוי ציון 215 ואילך. או"ש פרה פ"ט ה"ג. וע"ע מים חיים ולהלן ציון 1262 ואילך, על מים שקרשו והפשירו, ואפשר שהוא משום שמפשירים מאליהם, ולכך אף אם הפשירו ע"י אש אין לפסלם משום דיחוי. על דין אפר שנדחה, עי' ציונים 660, 671. על דין מים שאין מקודשים שנדחו, עי' ציון 267.</w:t>
      </w:r>
    </w:p>
  </w:footnote>
  <w:footnote w:id="90">
    <w:p w14:paraId="5AC9F3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w:t>
      </w:r>
      <w:r>
        <w:rPr>
          <w:rFonts w:ascii="David" w:hAnsi="David" w:cs="David"/>
          <w:sz w:val="24"/>
          <w:szCs w:val="24"/>
          <w:rtl/>
        </w:rPr>
        <w:t xml:space="preserve"> </w:t>
      </w:r>
      <w:r>
        <w:rPr>
          <w:rFonts w:ascii="David" w:hAnsi="David" w:cs="David"/>
          <w:color w:val="000000"/>
          <w:sz w:val="18"/>
          <w:szCs w:val="18"/>
          <w:rtl/>
        </w:rPr>
        <w:t>. עי' ציון 892 ואילך.</w:t>
      </w:r>
    </w:p>
  </w:footnote>
  <w:footnote w:id="91">
    <w:p w14:paraId="107C54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w:t>
      </w:r>
      <w:r>
        <w:rPr>
          <w:rFonts w:ascii="David" w:hAnsi="David" w:cs="David"/>
          <w:sz w:val="24"/>
          <w:szCs w:val="24"/>
          <w:rtl/>
        </w:rPr>
        <w:t xml:space="preserve"> </w:t>
      </w:r>
      <w:r>
        <w:rPr>
          <w:rFonts w:ascii="David" w:hAnsi="David" w:cs="David"/>
          <w:color w:val="000000"/>
          <w:sz w:val="18"/>
          <w:szCs w:val="18"/>
          <w:rtl/>
        </w:rPr>
        <w:t>. עי' או"ש שם. ועי' כס"מ שם ה"ה בשם ר"י קורקוס בפי' א', שמים שבספוג שאינם יוצאים אלא ע"י סחיטה (והיינו למעט המים שנשפכים כשמוציא הספוג, ועי' ציון 893) חשובים כמים שנשפכו (עי' ציון 87), ולפיכך אפי' חזרו לתוך המים פסולים, ולכאו' היינו משום דיחוי.</w:t>
      </w:r>
    </w:p>
  </w:footnote>
  <w:footnote w:id="92">
    <w:p w14:paraId="0CCCB0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w:t>
      </w:r>
      <w:r>
        <w:rPr>
          <w:rFonts w:ascii="David" w:hAnsi="David" w:cs="David"/>
          <w:sz w:val="24"/>
          <w:szCs w:val="24"/>
          <w:rtl/>
        </w:rPr>
        <w:t xml:space="preserve"> </w:t>
      </w:r>
      <w:r>
        <w:rPr>
          <w:rFonts w:ascii="David" w:hAnsi="David" w:cs="David"/>
          <w:color w:val="000000"/>
          <w:sz w:val="18"/>
          <w:szCs w:val="18"/>
          <w:rtl/>
        </w:rPr>
        <w:t>. ציון 897, ועי' ציון 899.</w:t>
      </w:r>
    </w:p>
  </w:footnote>
  <w:footnote w:id="93">
    <w:p w14:paraId="238EB6E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w:t>
      </w:r>
      <w:r>
        <w:rPr>
          <w:rFonts w:ascii="David" w:hAnsi="David" w:cs="David"/>
          <w:sz w:val="24"/>
          <w:szCs w:val="24"/>
          <w:rtl/>
        </w:rPr>
        <w:t xml:space="preserve"> </w:t>
      </w:r>
      <w:r>
        <w:rPr>
          <w:rFonts w:ascii="David" w:hAnsi="David" w:cs="David"/>
          <w:color w:val="000000"/>
          <w:sz w:val="18"/>
          <w:szCs w:val="18"/>
          <w:rtl/>
        </w:rPr>
        <w:t>. ראשונים ואחרונים שבציון 1372 ואילך, בטעם הסוברים שאינם מטמאים, עי' ציון 1365. ועי' ציון 1377 ואילך, שי"ס שהם מטמאים, ועי' חס"ד פרה פי"ב שהם סוברים שראויים הם לטהר, אבל אפשר שהם סוברים שמטמאים הם אף על פי שאינם ראויים.</w:t>
      </w:r>
    </w:p>
  </w:footnote>
  <w:footnote w:id="94">
    <w:p w14:paraId="350BF4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w:t>
      </w:r>
      <w:r>
        <w:rPr>
          <w:rFonts w:ascii="David" w:hAnsi="David" w:cs="David"/>
          <w:sz w:val="24"/>
          <w:szCs w:val="24"/>
          <w:rtl/>
        </w:rPr>
        <w:t xml:space="preserve"> </w:t>
      </w:r>
      <w:r>
        <w:rPr>
          <w:rFonts w:ascii="David" w:hAnsi="David" w:cs="David"/>
          <w:color w:val="000000"/>
          <w:sz w:val="18"/>
          <w:szCs w:val="18"/>
          <w:rtl/>
        </w:rPr>
        <w:t>. פרה פי"ב מ"ב.</w:t>
      </w:r>
    </w:p>
  </w:footnote>
  <w:footnote w:id="95">
    <w:p w14:paraId="26A8A1F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w:t>
      </w:r>
      <w:r>
        <w:rPr>
          <w:rFonts w:ascii="David" w:hAnsi="David" w:cs="David"/>
          <w:sz w:val="24"/>
          <w:szCs w:val="24"/>
          <w:rtl/>
        </w:rPr>
        <w:t xml:space="preserve"> </w:t>
      </w:r>
      <w:r>
        <w:rPr>
          <w:rFonts w:ascii="David" w:hAnsi="David" w:cs="David"/>
          <w:color w:val="000000"/>
          <w:sz w:val="18"/>
          <w:szCs w:val="18"/>
          <w:rtl/>
        </w:rPr>
        <w:t>. מק"ד טהרות סי' נא אות ד. וע"ש שתמה על הר"ש שם, שפי' טעם הפסול בע"א, ואפשר שד' הר"ש, שכמו שמועיל לטהר כמה אנשים בב"א, מועיל אף בזא"ז, שהכל הזאה אחת, ולא נעשית מצותו עד שהיא מסתיימת.</w:t>
      </w:r>
    </w:p>
  </w:footnote>
  <w:footnote w:id="96">
    <w:p w14:paraId="2E595E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w:t>
      </w:r>
      <w:r>
        <w:rPr>
          <w:rFonts w:ascii="David" w:hAnsi="David" w:cs="David"/>
          <w:sz w:val="24"/>
          <w:szCs w:val="24"/>
          <w:rtl/>
        </w:rPr>
        <w:t xml:space="preserve"> </w:t>
      </w:r>
      <w:r>
        <w:rPr>
          <w:rFonts w:ascii="David" w:hAnsi="David" w:cs="David"/>
          <w:color w:val="000000"/>
          <w:sz w:val="18"/>
          <w:szCs w:val="18"/>
          <w:rtl/>
        </w:rPr>
        <w:t>. עי' ציון 1059.</w:t>
      </w:r>
    </w:p>
  </w:footnote>
  <w:footnote w:id="97">
    <w:p w14:paraId="3580184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w:t>
      </w:r>
      <w:r>
        <w:rPr>
          <w:rFonts w:ascii="David" w:hAnsi="David" w:cs="David"/>
          <w:sz w:val="24"/>
          <w:szCs w:val="24"/>
          <w:rtl/>
        </w:rPr>
        <w:t xml:space="preserve"> </w:t>
      </w:r>
      <w:r>
        <w:rPr>
          <w:rFonts w:ascii="David" w:hAnsi="David" w:cs="David"/>
          <w:color w:val="000000"/>
          <w:sz w:val="18"/>
          <w:szCs w:val="18"/>
          <w:rtl/>
        </w:rPr>
        <w:t>. ציונים 1415 - 1365. ועי' ציון 1187, כשהיזה על דבר שאינו מק"ט.</w:t>
      </w:r>
    </w:p>
  </w:footnote>
  <w:footnote w:id="98">
    <w:p w14:paraId="0E3053C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w:t>
      </w:r>
      <w:r>
        <w:rPr>
          <w:rFonts w:ascii="David" w:hAnsi="David" w:cs="David"/>
          <w:sz w:val="24"/>
          <w:szCs w:val="24"/>
          <w:rtl/>
        </w:rPr>
        <w:t xml:space="preserve"> </w:t>
      </w:r>
      <w:r>
        <w:rPr>
          <w:rFonts w:ascii="David" w:hAnsi="David" w:cs="David"/>
          <w:color w:val="000000"/>
          <w:sz w:val="18"/>
          <w:szCs w:val="18"/>
          <w:rtl/>
        </w:rPr>
        <w:t>. עי' פהמ"ש לרמב"ם מקואות פ"י מ"ו; הגה"ה בר"ש פרה פי"ב מ"ז, לטעם שבע' השקה ציון 115, ועי' ר"ש מקואות שם; מאירי שם; עי' רע"ב שם. ועי' תפא"י פרה פ"ה אות יט, וחזו"א פרה סי' י ס"ק יב, ועי' ציון 962.</w:t>
      </w:r>
    </w:p>
  </w:footnote>
  <w:footnote w:id="99">
    <w:p w14:paraId="6F09E58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w:t>
      </w:r>
      <w:r>
        <w:rPr>
          <w:rFonts w:ascii="David" w:hAnsi="David" w:cs="David"/>
          <w:sz w:val="24"/>
          <w:szCs w:val="24"/>
          <w:rtl/>
        </w:rPr>
        <w:t xml:space="preserve"> </w:t>
      </w:r>
      <w:r>
        <w:rPr>
          <w:rFonts w:ascii="David" w:hAnsi="David" w:cs="David"/>
          <w:color w:val="000000"/>
          <w:sz w:val="18"/>
          <w:szCs w:val="18"/>
          <w:rtl/>
        </w:rPr>
        <w:t>. הגה"ה בר"ש הנ"ל, לטעם שבע' הנ"ל ציון 117, ועי' ר"ש מקואות שם; שמ"ק זבחים עט א (וצ"ב ההכרח לזה, שהרי לרבא שם לכאו' אין השקה מועילה, ולאביי אין הכרח שמדבר במים שאינם מקודשים, שאחרי שבטלו ברוב אינם מטמאים, עי' ציון 1329); חזו"א שם סי' יא ס"ק ה, בד' ראשונים שבציון 1055, וע"ש סי' י שם וסי' טו ס"ק יא ומקואות קמא סי' י ס"ק ד. ועי' רש"ש פרה פ"ה מ"ג, שצידד כן בד' ת"ק שבציון 790 ואילך, בביאור הדין שבציון 942, ועי' חזו"א פרה סי' י שם וס"ק יג, בע"א, ועי' תפא"י שם אות יט.</w:t>
      </w:r>
    </w:p>
  </w:footnote>
  <w:footnote w:id="100">
    <w:p w14:paraId="69B78B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w:t>
      </w:r>
      <w:r>
        <w:rPr>
          <w:rFonts w:ascii="David" w:hAnsi="David" w:cs="David"/>
          <w:sz w:val="24"/>
          <w:szCs w:val="24"/>
          <w:rtl/>
        </w:rPr>
        <w:t xml:space="preserve"> </w:t>
      </w:r>
      <w:r>
        <w:rPr>
          <w:rFonts w:ascii="David" w:hAnsi="David" w:cs="David"/>
          <w:color w:val="000000"/>
          <w:sz w:val="18"/>
          <w:szCs w:val="18"/>
          <w:rtl/>
        </w:rPr>
        <w:t>. ע"ע הנ"ל ציון 116 ואילך.</w:t>
      </w:r>
    </w:p>
  </w:footnote>
  <w:footnote w:id="101">
    <w:p w14:paraId="4160C9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w:t>
      </w:r>
      <w:r>
        <w:rPr>
          <w:rFonts w:ascii="David" w:hAnsi="David" w:cs="David"/>
          <w:sz w:val="24"/>
          <w:szCs w:val="24"/>
          <w:rtl/>
        </w:rPr>
        <w:t xml:space="preserve"> </w:t>
      </w:r>
      <w:r>
        <w:rPr>
          <w:rFonts w:ascii="David" w:hAnsi="David" w:cs="David"/>
          <w:color w:val="000000"/>
          <w:sz w:val="18"/>
          <w:szCs w:val="18"/>
          <w:rtl/>
        </w:rPr>
        <w:t>. סד"ט כלים דף כו ע"ב; עי' חזו"א מקואות קמא סי' י ס"ק ד, ופרה סי' טו ס"ק יא ויב, וע"ש ס"ק יא, אם מועילה ההשקה לטהרם לענין תרומה ולחולין. ועי' חזו"א מקואות שם, אם הוא דוקא לסוברים שמי חטאת שנטמאו מטהרים, עי' להלן ציון 901 ואילך, או שאפילו להלכה שהם נפסלים, אין השקה מועילה, כיון שכשנטמאו היו מי חטאת, ומ' שאם נפסלו בפסול אחר, מועילה השקה, ועי' ציון 104, שכל שלא נתערבו בהם רוב מים, אין הטבילה מועילה, ועי' ציונים 709 ואילך, 724 ואילך, שאף תערובת מקצת מים פוסלת, אבל אפשר שאינו אלא כשאינם פסולים מה"ת, לסוברים שתערובת אינה פוסלת מה"ת, עי' ציונים 711, 747 ואילך, וכן אפשר שדוקא כשפסולם הוא מחמת תערובת, ואינם פסולים בעצם, אין השקה מועילה בהם, עי' ציון 1334, ועי' אהא"ז פסוהמ"ק פ"ב הכ"ב, ועי' חזו"א מקואות ופרה שם, ושם בטעם שמועילה להם השקה כשהרוב מי מקוה, ועי' חזו"א מקואות שם, שמ' שמועילה בהם הזאה, ואף על פי שנתערבו, וצ"ב, ועי' חזו"א פרה שם ס"ק יב.</w:t>
      </w:r>
    </w:p>
  </w:footnote>
  <w:footnote w:id="102">
    <w:p w14:paraId="3919582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w:t>
      </w:r>
      <w:r>
        <w:rPr>
          <w:rFonts w:ascii="David" w:hAnsi="David" w:cs="David"/>
          <w:sz w:val="24"/>
          <w:szCs w:val="24"/>
          <w:rtl/>
        </w:rPr>
        <w:t xml:space="preserve"> </w:t>
      </w:r>
      <w:r>
        <w:rPr>
          <w:rFonts w:ascii="David" w:hAnsi="David" w:cs="David"/>
          <w:color w:val="000000"/>
          <w:sz w:val="18"/>
          <w:szCs w:val="18"/>
          <w:rtl/>
        </w:rPr>
        <w:t>. ציון 115 ואילך, ועי' צ"פ ערכין פ"ו ה"ל ותרומות פ"א ה"י בהשמטה ד"ה ולכך ופ"ב ה"ב ד"ה והנה באמת מה היה.</w:t>
      </w:r>
    </w:p>
  </w:footnote>
  <w:footnote w:id="103">
    <w:p w14:paraId="1C580E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w:t>
      </w:r>
      <w:r>
        <w:rPr>
          <w:rFonts w:ascii="David" w:hAnsi="David" w:cs="David"/>
          <w:sz w:val="24"/>
          <w:szCs w:val="24"/>
          <w:rtl/>
        </w:rPr>
        <w:t xml:space="preserve"> </w:t>
      </w:r>
      <w:r>
        <w:rPr>
          <w:rFonts w:ascii="David" w:hAnsi="David" w:cs="David"/>
          <w:color w:val="000000"/>
          <w:sz w:val="18"/>
          <w:szCs w:val="18"/>
          <w:rtl/>
        </w:rPr>
        <w:t>. ע"ע הנ"ל ציונים 9, 120.</w:t>
      </w:r>
    </w:p>
  </w:footnote>
  <w:footnote w:id="104">
    <w:p w14:paraId="7927F3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w:t>
      </w:r>
      <w:r>
        <w:rPr>
          <w:rFonts w:ascii="David" w:hAnsi="David" w:cs="David"/>
          <w:sz w:val="24"/>
          <w:szCs w:val="24"/>
          <w:rtl/>
        </w:rPr>
        <w:t xml:space="preserve"> </w:t>
      </w:r>
      <w:r>
        <w:rPr>
          <w:rFonts w:ascii="David" w:hAnsi="David" w:cs="David"/>
          <w:color w:val="000000"/>
          <w:sz w:val="18"/>
          <w:szCs w:val="18"/>
          <w:rtl/>
        </w:rPr>
        <w:t>. ע"ע הנ"ל ציון 111 ואילך. ועי' זבחים עח ב, שהדבר תלוי במח' תנאים, וי"ס שלא מועיל שירבו מי המקוה, וכ"ה ד' ר' יוסי במקואות שם (אם דבריו אף כלפי מי חטאת, עי' מפרשי המשנה שם), לפי' אביי בזבחים שם.</w:t>
      </w:r>
    </w:p>
  </w:footnote>
  <w:footnote w:id="105">
    <w:p w14:paraId="0CAFF4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w:t>
      </w:r>
      <w:r>
        <w:rPr>
          <w:rFonts w:ascii="David" w:hAnsi="David" w:cs="David"/>
          <w:sz w:val="24"/>
          <w:szCs w:val="24"/>
          <w:rtl/>
        </w:rPr>
        <w:t xml:space="preserve"> </w:t>
      </w:r>
      <w:r>
        <w:rPr>
          <w:rFonts w:ascii="David" w:hAnsi="David" w:cs="David"/>
          <w:color w:val="000000"/>
          <w:sz w:val="18"/>
          <w:szCs w:val="18"/>
          <w:rtl/>
        </w:rPr>
        <w:t>. ציון 1226 ואילך.</w:t>
      </w:r>
    </w:p>
  </w:footnote>
  <w:footnote w:id="106">
    <w:p w14:paraId="55364D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w:t>
      </w:r>
      <w:r>
        <w:rPr>
          <w:rFonts w:ascii="David" w:hAnsi="David" w:cs="David"/>
          <w:sz w:val="24"/>
          <w:szCs w:val="24"/>
          <w:rtl/>
        </w:rPr>
        <w:t xml:space="preserve"> </w:t>
      </w:r>
      <w:r>
        <w:rPr>
          <w:rFonts w:ascii="David" w:hAnsi="David" w:cs="David"/>
          <w:color w:val="000000"/>
          <w:sz w:val="18"/>
          <w:szCs w:val="18"/>
          <w:rtl/>
        </w:rPr>
        <w:t>. ע"ע טמאת כלים ציון 137 (וע"ש ציון 103) וע' טמאת משקים ציון 183. ועי' להלן ציון 110 ואילך.</w:t>
      </w:r>
    </w:p>
  </w:footnote>
  <w:footnote w:id="107">
    <w:p w14:paraId="1F356B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w:t>
      </w:r>
      <w:r>
        <w:rPr>
          <w:rFonts w:ascii="David" w:hAnsi="David" w:cs="David"/>
          <w:sz w:val="24"/>
          <w:szCs w:val="24"/>
          <w:rtl/>
        </w:rPr>
        <w:t xml:space="preserve"> </w:t>
      </w:r>
      <w:r>
        <w:rPr>
          <w:rFonts w:ascii="David" w:hAnsi="David" w:cs="David"/>
          <w:color w:val="000000"/>
          <w:sz w:val="18"/>
          <w:szCs w:val="18"/>
          <w:rtl/>
        </w:rPr>
        <w:t>. עי' להלן ציונים 709 ואילך, 724 ואילך, שתערובת מים פוסלת.</w:t>
      </w:r>
    </w:p>
  </w:footnote>
  <w:footnote w:id="108">
    <w:p w14:paraId="5F79EB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w:t>
      </w:r>
      <w:r>
        <w:rPr>
          <w:rFonts w:ascii="David" w:hAnsi="David" w:cs="David"/>
          <w:sz w:val="24"/>
          <w:szCs w:val="24"/>
          <w:rtl/>
        </w:rPr>
        <w:t xml:space="preserve"> </w:t>
      </w:r>
      <w:r>
        <w:rPr>
          <w:rFonts w:ascii="David" w:hAnsi="David" w:cs="David"/>
          <w:color w:val="000000"/>
          <w:sz w:val="18"/>
          <w:szCs w:val="18"/>
          <w:rtl/>
        </w:rPr>
        <w:t>. ציון 969. ועי' זבחים עט א, שלד' רבא זו כוונת המשנה מקואות פ"י מ"ו, ועי' משנה שם, שר' יוסי סובר שלא די שירבו מי המקוה, ואפי' אין בו אלא רביעית, כאילו לא טבל, ועי' מפרשי המשנה שם, אם הוא אף כלפי מי חטאת. ועי' חזו"א מקואות קמא סי' י ס"ק ד, שלד' זו אם היו המים טמאים, אין הטבילה מועילה, וכ"נ שם פרה סי' טו ס"ק יב, ולכאו' כוונתו משום שתוכו טמא, שהמים מטמאים את הכלי, וע"ע מקוה, על מים טמאים אם הם כשרים למקוה, ועי' להלן. ועי' טו"א חגיגה כ ב ואו"ש פרה פי"ג ה"ו וחזו"א פרה שם, שבמי חטאת טמאים (לסוברים שהם פסולים להזאה, עי' ציון 912 ואילך), אין גזירה זו, ועי' חזו"א שם בטמאים מדרבנן, ועי' תפא"י פרה שם בועז אות יג, ושם בטעם שלא די בכך שיאמרו שצריך שיכנס בו מים ונפסל בכך. ועי' זבחים עח ב, שאביי פי' המשנה בע"א, וכן פי' מפרשי המשנה מקואות שם, ולפ"ז אין מקור לדין זה, אבל ברמב"ם מקואות פ"ג הי"ח ויט, נ' שב' הדינים אמת, ועי' כס"מ שם, שהרמב"ם גרס בע"א, ולגירסתו לא נאמר דין זה כלל במי חטאת.</w:t>
      </w:r>
    </w:p>
  </w:footnote>
  <w:footnote w:id="109">
    <w:p w14:paraId="634EE14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w:t>
      </w:r>
      <w:r>
        <w:rPr>
          <w:rFonts w:ascii="David" w:hAnsi="David" w:cs="David"/>
          <w:sz w:val="24"/>
          <w:szCs w:val="24"/>
          <w:rtl/>
        </w:rPr>
        <w:t xml:space="preserve"> </w:t>
      </w:r>
      <w:r>
        <w:rPr>
          <w:rFonts w:ascii="David" w:hAnsi="David" w:cs="David"/>
          <w:color w:val="000000"/>
          <w:sz w:val="18"/>
          <w:szCs w:val="18"/>
          <w:rtl/>
        </w:rPr>
        <w:t>. שמ"ק זבחים עט א, וכעי"ז בהגה"ה בר"ש פרה פי"ב מ"ז, (ולכאו' כוונתו שאם המים מקודשים נטמאים מהכלי, וכיון שהם טמאים אין הטבילה מועילה, כיון שאין השקה מועילה בהם, כדלעיל, ועוד שיחזרו ויטמאו את הכלי, ועי' תפא"י שם בועז אות יג), ועי' חזו"א מקואות שם. ועי' ראשונים שבציון 82, שלדעתם הברייתא בגיטין נג א וב"ק נו א וצח א, שדנה על מזיק מי חטאת, דנה על מזיקם קודם קידוש. וע"ע הנ"ל ציון 972 ואילך, שי"ס שאף בשאר משקים יש לחוש שמא יחוס עליהם.</w:t>
      </w:r>
    </w:p>
  </w:footnote>
  <w:footnote w:id="110">
    <w:p w14:paraId="6426600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w:t>
      </w:r>
      <w:r>
        <w:rPr>
          <w:rFonts w:ascii="David" w:hAnsi="David" w:cs="David"/>
          <w:sz w:val="24"/>
          <w:szCs w:val="24"/>
          <w:rtl/>
        </w:rPr>
        <w:t xml:space="preserve"> </w:t>
      </w:r>
      <w:r>
        <w:rPr>
          <w:rFonts w:ascii="David" w:hAnsi="David" w:cs="David"/>
          <w:color w:val="000000"/>
          <w:sz w:val="18"/>
          <w:szCs w:val="18"/>
          <w:rtl/>
        </w:rPr>
        <w:t>. עי' ציון 106.</w:t>
      </w:r>
    </w:p>
  </w:footnote>
  <w:footnote w:id="111">
    <w:p w14:paraId="2F3FB0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w:t>
      </w:r>
      <w:r>
        <w:rPr>
          <w:rFonts w:ascii="David" w:hAnsi="David" w:cs="David"/>
          <w:sz w:val="24"/>
          <w:szCs w:val="24"/>
          <w:rtl/>
        </w:rPr>
        <w:t xml:space="preserve"> </w:t>
      </w:r>
      <w:r>
        <w:rPr>
          <w:rFonts w:ascii="David" w:hAnsi="David" w:cs="David"/>
          <w:color w:val="000000"/>
          <w:sz w:val="18"/>
          <w:szCs w:val="18"/>
          <w:rtl/>
        </w:rPr>
        <w:t>. ע"ע טמאת כלים ציון 144, וע' טמאת משקים ציון 197 ואילך.</w:t>
      </w:r>
    </w:p>
  </w:footnote>
  <w:footnote w:id="112">
    <w:p w14:paraId="3952FBE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w:t>
      </w:r>
      <w:r>
        <w:rPr>
          <w:rFonts w:ascii="David" w:hAnsi="David" w:cs="David"/>
          <w:sz w:val="24"/>
          <w:szCs w:val="24"/>
          <w:rtl/>
        </w:rPr>
        <w:t xml:space="preserve"> </w:t>
      </w:r>
      <w:r>
        <w:rPr>
          <w:rFonts w:ascii="David" w:hAnsi="David" w:cs="David"/>
          <w:color w:val="000000"/>
          <w:sz w:val="18"/>
          <w:szCs w:val="18"/>
          <w:rtl/>
        </w:rPr>
        <w:t>. פרה פי"ב מ"ח. ועי' רמב"ם פרה פי"ג ה"ו. ועי' מק"ד טהרות סי' נא אות ה, שהוא משום שגבו מטמא את תוכו, שאין מונים ראשון ושני בחטאת, ועי' להלן. ועי' טו"א חגיגה כ ב, וצ"ב. וע"ע מעלות. ועי' פרה פ"י מ"ג, שכלי חרס שנגעו משקים טמאים באחוריו, אין תוכו נטמא, וע"ע טמאת כלים ציון 139, ועי' משנ"א שם, ושם בשם משנת חכמים, וחזו"א כלים סי' ג סוס"ק י.</w:t>
      </w:r>
    </w:p>
  </w:footnote>
  <w:footnote w:id="113">
    <w:p w14:paraId="3F96CAC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w:t>
      </w:r>
      <w:r>
        <w:rPr>
          <w:rFonts w:ascii="David" w:hAnsi="David" w:cs="David"/>
          <w:sz w:val="24"/>
          <w:szCs w:val="24"/>
          <w:rtl/>
        </w:rPr>
        <w:t xml:space="preserve"> </w:t>
      </w:r>
      <w:r>
        <w:rPr>
          <w:rFonts w:ascii="David" w:hAnsi="David" w:cs="David"/>
          <w:color w:val="000000"/>
          <w:sz w:val="18"/>
          <w:szCs w:val="18"/>
          <w:rtl/>
        </w:rPr>
        <w:t>. הגה"ה בר"ש פי"ב שם (מ"ז); או"ש פרה שם, בד' רש"י ותוס' זבחים עט א.</w:t>
      </w:r>
    </w:p>
  </w:footnote>
  <w:footnote w:id="114">
    <w:p w14:paraId="16EED3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w:t>
      </w:r>
      <w:r>
        <w:rPr>
          <w:rFonts w:ascii="David" w:hAnsi="David" w:cs="David"/>
          <w:sz w:val="24"/>
          <w:szCs w:val="24"/>
          <w:rtl/>
        </w:rPr>
        <w:t xml:space="preserve"> </w:t>
      </w:r>
      <w:r>
        <w:rPr>
          <w:rFonts w:ascii="David" w:hAnsi="David" w:cs="David"/>
          <w:color w:val="000000"/>
          <w:sz w:val="18"/>
          <w:szCs w:val="18"/>
          <w:rtl/>
        </w:rPr>
        <w:t>. או"ש שם, בד' רמב"ם שם, ושכן מסתבר</w:t>
      </w:r>
    </w:p>
  </w:footnote>
  <w:footnote w:id="115">
    <w:p w14:paraId="6345AA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w:t>
      </w:r>
      <w:r>
        <w:rPr>
          <w:rFonts w:ascii="David" w:hAnsi="David" w:cs="David"/>
          <w:sz w:val="24"/>
          <w:szCs w:val="24"/>
          <w:rtl/>
        </w:rPr>
        <w:t xml:space="preserve"> </w:t>
      </w:r>
      <w:r>
        <w:rPr>
          <w:rFonts w:ascii="David" w:hAnsi="David" w:cs="David"/>
          <w:color w:val="000000"/>
          <w:sz w:val="18"/>
          <w:szCs w:val="18"/>
          <w:rtl/>
        </w:rPr>
        <w:t>. ועי' או"ש שם. ולד' מק"ד דלעיל, אין לחלק בין מנין ראשון ושני, לבין דין נטמאו אחוריו נטמא תוכו.</w:t>
      </w:r>
    </w:p>
  </w:footnote>
  <w:footnote w:id="116">
    <w:p w14:paraId="02AEBE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w:t>
      </w:r>
      <w:r>
        <w:rPr>
          <w:rFonts w:ascii="David" w:hAnsi="David" w:cs="David"/>
          <w:sz w:val="24"/>
          <w:szCs w:val="24"/>
          <w:rtl/>
        </w:rPr>
        <w:t xml:space="preserve"> </w:t>
      </w:r>
      <w:r>
        <w:rPr>
          <w:rFonts w:ascii="David" w:hAnsi="David" w:cs="David"/>
          <w:color w:val="000000"/>
          <w:sz w:val="18"/>
          <w:szCs w:val="18"/>
          <w:rtl/>
        </w:rPr>
        <w:t>. עי' להלן: הקידוש.</w:t>
      </w:r>
    </w:p>
  </w:footnote>
  <w:footnote w:id="117">
    <w:p w14:paraId="04DF29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w:t>
      </w:r>
      <w:r>
        <w:rPr>
          <w:rFonts w:ascii="David" w:hAnsi="David" w:cs="David"/>
          <w:sz w:val="24"/>
          <w:szCs w:val="24"/>
          <w:rtl/>
        </w:rPr>
        <w:t xml:space="preserve"> </w:t>
      </w:r>
      <w:r>
        <w:rPr>
          <w:rFonts w:ascii="David" w:hAnsi="David" w:cs="David"/>
          <w:color w:val="000000"/>
          <w:sz w:val="18"/>
          <w:szCs w:val="18"/>
          <w:rtl/>
        </w:rPr>
        <w:t>. עי' תוספתא פרה פ"ד: חוץ מאסיפת האפר והמלוי והקדוש, ורע"ב שם פ"ד מ"ד. ועי' ערה"ש פרה סי' סח ס"ג, שמסתפק אם צריך לברך על המילוי, ועי' ציון 403.</w:t>
      </w:r>
    </w:p>
  </w:footnote>
  <w:footnote w:id="118">
    <w:p w14:paraId="004A84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w:t>
      </w:r>
      <w:r>
        <w:rPr>
          <w:rFonts w:ascii="David" w:hAnsi="David" w:cs="David"/>
          <w:sz w:val="24"/>
          <w:szCs w:val="24"/>
          <w:rtl/>
        </w:rPr>
        <w:t xml:space="preserve"> </w:t>
      </w:r>
      <w:r>
        <w:rPr>
          <w:rFonts w:ascii="David" w:hAnsi="David" w:cs="David"/>
          <w:color w:val="000000"/>
          <w:sz w:val="18"/>
          <w:szCs w:val="18"/>
          <w:rtl/>
        </w:rPr>
        <w:t>. במדבר יט יז.</w:t>
      </w:r>
    </w:p>
  </w:footnote>
  <w:footnote w:id="119">
    <w:p w14:paraId="45CE12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w:t>
      </w:r>
      <w:r>
        <w:rPr>
          <w:rFonts w:ascii="David" w:hAnsi="David" w:cs="David"/>
          <w:sz w:val="24"/>
          <w:szCs w:val="24"/>
          <w:rtl/>
        </w:rPr>
        <w:t xml:space="preserve"> </w:t>
      </w:r>
      <w:r>
        <w:rPr>
          <w:rFonts w:ascii="David" w:hAnsi="David" w:cs="David"/>
          <w:color w:val="000000"/>
          <w:sz w:val="18"/>
          <w:szCs w:val="18"/>
          <w:rtl/>
        </w:rPr>
        <w:t>. הכתב והקבלה שם; חזו"א פרה סי' יא ס"ק ה. וכן מבואר בציונים 179, 205, 226 ואילך, 246 ואילך, 299 ואילך, 419 ואילך, 1055. ועי' ציונים 444, 521, 556.</w:t>
      </w:r>
    </w:p>
  </w:footnote>
  <w:footnote w:id="120">
    <w:p w14:paraId="0DA7BD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w:t>
      </w:r>
      <w:r>
        <w:rPr>
          <w:rFonts w:ascii="David" w:hAnsi="David" w:cs="David"/>
          <w:sz w:val="24"/>
          <w:szCs w:val="24"/>
          <w:rtl/>
        </w:rPr>
        <w:t xml:space="preserve"> </w:t>
      </w:r>
      <w:r>
        <w:rPr>
          <w:rFonts w:ascii="David" w:hAnsi="David" w:cs="David"/>
          <w:color w:val="000000"/>
          <w:sz w:val="18"/>
          <w:szCs w:val="18"/>
          <w:rtl/>
        </w:rPr>
        <w:t>. עי' ציון 419 ואילך.</w:t>
      </w:r>
    </w:p>
  </w:footnote>
  <w:footnote w:id="121">
    <w:p w14:paraId="772356C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w:t>
      </w:r>
      <w:r>
        <w:rPr>
          <w:rFonts w:ascii="David" w:hAnsi="David" w:cs="David"/>
          <w:sz w:val="24"/>
          <w:szCs w:val="24"/>
          <w:rtl/>
        </w:rPr>
        <w:t xml:space="preserve"> </w:t>
      </w:r>
      <w:r>
        <w:rPr>
          <w:rFonts w:ascii="David" w:hAnsi="David" w:cs="David"/>
          <w:color w:val="000000"/>
          <w:sz w:val="18"/>
          <w:szCs w:val="18"/>
          <w:rtl/>
        </w:rPr>
        <w:t>. ציונים 405 ואילך, 426.</w:t>
      </w:r>
    </w:p>
  </w:footnote>
  <w:footnote w:id="122">
    <w:p w14:paraId="21C5097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w:t>
      </w:r>
      <w:r>
        <w:rPr>
          <w:rFonts w:ascii="David" w:hAnsi="David" w:cs="David"/>
          <w:sz w:val="24"/>
          <w:szCs w:val="24"/>
          <w:rtl/>
        </w:rPr>
        <w:t xml:space="preserve"> </w:t>
      </w:r>
      <w:r>
        <w:rPr>
          <w:rFonts w:ascii="David" w:hAnsi="David" w:cs="David"/>
          <w:color w:val="000000"/>
          <w:sz w:val="18"/>
          <w:szCs w:val="18"/>
          <w:rtl/>
        </w:rPr>
        <w:t>. ע"ע פרה אדומה.</w:t>
      </w:r>
    </w:p>
  </w:footnote>
  <w:footnote w:id="123">
    <w:p w14:paraId="1F08760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w:t>
      </w:r>
      <w:r>
        <w:rPr>
          <w:rFonts w:ascii="David" w:hAnsi="David" w:cs="David"/>
          <w:sz w:val="24"/>
          <w:szCs w:val="24"/>
          <w:rtl/>
        </w:rPr>
        <w:t xml:space="preserve"> </w:t>
      </w:r>
      <w:r>
        <w:rPr>
          <w:rFonts w:ascii="David" w:hAnsi="David" w:cs="David"/>
          <w:color w:val="000000"/>
          <w:sz w:val="18"/>
          <w:szCs w:val="18"/>
          <w:rtl/>
        </w:rPr>
        <w:t>. חזו"א דלהלן.</w:t>
      </w:r>
    </w:p>
  </w:footnote>
  <w:footnote w:id="124">
    <w:p w14:paraId="22A541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w:t>
      </w:r>
      <w:r>
        <w:rPr>
          <w:rFonts w:ascii="David" w:hAnsi="David" w:cs="David"/>
          <w:sz w:val="24"/>
          <w:szCs w:val="24"/>
          <w:rtl/>
        </w:rPr>
        <w:t xml:space="preserve"> </w:t>
      </w:r>
      <w:r>
        <w:rPr>
          <w:rFonts w:ascii="David" w:hAnsi="David" w:cs="David"/>
          <w:color w:val="000000"/>
          <w:sz w:val="18"/>
          <w:szCs w:val="18"/>
          <w:rtl/>
        </w:rPr>
        <w:t>. עי' דברי מלכיאל דלהלן; עי' ערה"ש שבציון 288; חזו"א פרה סי' יא ס"ק ג וד וה וט, וע"ש סי' יב ס"ק ז, ועי' ציונים 62, 208. וע"ש סי' יא ס"ק ה, שמסתפק אם אפשר לקדש קודם שנתלשו, לסוברים שדינם כתלושים לענין טומאה, עי' ציון 1051, וע"ש ס"ק א, שלסוברים שדינם כמחוברים, א"א לקדשים עד שיתלשו, ועי' ציון 1058. וע"ש ס"ק ג, ראיה מזבחים כה ב, שצינור המקלח מים מן המעיין, ובאו המים לאויר חבית שניתנה שם שלא לשם מי חטאת, עי' ציון 332, אפי' נתן כלי באויר החבית לקבל המים לשם מילוי, פסול, ואילו היה המילוי בעקירה מן המעיין, הרי לא נעקרו אלא ע"י הכלי השני, ועי' ציונים 320, 373, ראיות נוספות. ועי' ציון 298 ואילך, שי"ס שמילוי ע"י שלשול בחבל אינו מועיל, ומ' שתלוי בשעת ביאת המים.</w:t>
      </w:r>
    </w:p>
  </w:footnote>
  <w:footnote w:id="125">
    <w:p w14:paraId="38D7BCE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w:t>
      </w:r>
      <w:r>
        <w:rPr>
          <w:rFonts w:ascii="David" w:hAnsi="David" w:cs="David"/>
          <w:sz w:val="24"/>
          <w:szCs w:val="24"/>
          <w:rtl/>
        </w:rPr>
        <w:t xml:space="preserve"> </w:t>
      </w:r>
      <w:r>
        <w:rPr>
          <w:rFonts w:ascii="David" w:hAnsi="David" w:cs="David"/>
          <w:color w:val="000000"/>
          <w:sz w:val="18"/>
          <w:szCs w:val="18"/>
          <w:rtl/>
        </w:rPr>
        <w:t>. עי' ציון 171.</w:t>
      </w:r>
    </w:p>
  </w:footnote>
  <w:footnote w:id="126">
    <w:p w14:paraId="47771A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w:t>
      </w:r>
      <w:r>
        <w:rPr>
          <w:rFonts w:ascii="David" w:hAnsi="David" w:cs="David"/>
          <w:sz w:val="24"/>
          <w:szCs w:val="24"/>
          <w:rtl/>
        </w:rPr>
        <w:t xml:space="preserve"> </w:t>
      </w:r>
      <w:r>
        <w:rPr>
          <w:rFonts w:ascii="David" w:hAnsi="David" w:cs="David"/>
          <w:color w:val="000000"/>
          <w:sz w:val="18"/>
          <w:szCs w:val="18"/>
          <w:rtl/>
        </w:rPr>
        <w:t>. חזו"א שם. וכ"נ בערה"ש הנ"ל.</w:t>
      </w:r>
    </w:p>
  </w:footnote>
  <w:footnote w:id="127">
    <w:p w14:paraId="3F4FC4B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w:t>
      </w:r>
      <w:r>
        <w:rPr>
          <w:rFonts w:ascii="David" w:hAnsi="David" w:cs="David"/>
          <w:sz w:val="24"/>
          <w:szCs w:val="24"/>
          <w:rtl/>
        </w:rPr>
        <w:t xml:space="preserve"> </w:t>
      </w:r>
      <w:r>
        <w:rPr>
          <w:rFonts w:ascii="David" w:hAnsi="David" w:cs="David"/>
          <w:color w:val="000000"/>
          <w:sz w:val="18"/>
          <w:szCs w:val="18"/>
          <w:rtl/>
        </w:rPr>
        <w:t>. חזו"א שם ס"ק ד, וע"ש ס"ק ג, שמ"מ העלאת הקטן פסולה משום היסה"ד אם אין גדול משמרו. וע"ש ס"ק ד שכ"מ בתוספתא פרה פ"ה לפי' ר"ש שם פ"ה מ"ג, שהמשלשל כלי לשם מילוי ולאחר שהגיע למים נמלך עליו לשתיה, כשר (עי' ד' רשב"ג בציון 350, ושם שלד' ת"ק מערה וא"צ לנגב, וע"ש הטעם), אף על פי שמסתמא כשמעלה הכלי דעתו לשתיה. ועי' חזו"א שם ס"ק ה, שכ"מ בפסחים לד ב, לפי' ראשונים שבציון 1055, שכוונת הגמ' שאע"פ שצריך שיהיו המים מחוברים למעיין בשעת המילוי, עי' ציון 226 ואילך, קראה להם תורה תלושים, להשמיע שמקבלים טומאה ואין להם טהרה בהשקה, ומכאן שהמילוי בשעה שהם מחוברים למעיין, שהרי כשהעלם פשוט שהם תלושים, ועי' ציון 250, שי"מ גמ' שם באופ"א.</w:t>
      </w:r>
    </w:p>
  </w:footnote>
  <w:footnote w:id="128">
    <w:p w14:paraId="723B89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w:t>
      </w:r>
      <w:r>
        <w:rPr>
          <w:rFonts w:ascii="David" w:hAnsi="David" w:cs="David"/>
          <w:sz w:val="24"/>
          <w:szCs w:val="24"/>
          <w:rtl/>
        </w:rPr>
        <w:t xml:space="preserve"> </w:t>
      </w:r>
      <w:r>
        <w:rPr>
          <w:rFonts w:ascii="David" w:hAnsi="David" w:cs="David"/>
          <w:color w:val="000000"/>
          <w:sz w:val="18"/>
          <w:szCs w:val="18"/>
          <w:rtl/>
        </w:rPr>
        <w:t>. חזו"א סי' יב שם.</w:t>
      </w:r>
    </w:p>
  </w:footnote>
  <w:footnote w:id="129">
    <w:p w14:paraId="7104FA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w:t>
      </w:r>
      <w:r>
        <w:rPr>
          <w:rFonts w:ascii="David" w:hAnsi="David" w:cs="David"/>
          <w:sz w:val="24"/>
          <w:szCs w:val="24"/>
          <w:rtl/>
        </w:rPr>
        <w:t xml:space="preserve"> </w:t>
      </w:r>
      <w:r>
        <w:rPr>
          <w:rFonts w:ascii="David" w:hAnsi="David" w:cs="David"/>
          <w:color w:val="000000"/>
          <w:sz w:val="18"/>
          <w:szCs w:val="18"/>
          <w:rtl/>
        </w:rPr>
        <w:t>. ע"ע אויר (א) ציון 20, לענין אויר כלי למי חטאת, ועי' להלן ציון 236 ואילך. עי' חזו"א שם, וסי' יא ס"ק ג.</w:t>
      </w:r>
    </w:p>
  </w:footnote>
  <w:footnote w:id="130">
    <w:p w14:paraId="66FF984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w:t>
      </w:r>
      <w:r>
        <w:rPr>
          <w:rFonts w:ascii="David" w:hAnsi="David" w:cs="David"/>
          <w:sz w:val="24"/>
          <w:szCs w:val="24"/>
          <w:rtl/>
        </w:rPr>
        <w:t xml:space="preserve"> </w:t>
      </w:r>
      <w:r>
        <w:rPr>
          <w:rFonts w:ascii="David" w:hAnsi="David" w:cs="David"/>
          <w:color w:val="000000"/>
          <w:sz w:val="18"/>
          <w:szCs w:val="18"/>
          <w:rtl/>
        </w:rPr>
        <w:t>. עי' חזו"א סי' יב שם, שצידד בד' ראשונים שבציון 740, המעמידים משנה פרה פ"ו מ"ג הפוסלת ספוג, בקידוש ולא במילוי, שהוא משום שלדעתם המילוי בספוג כשר מפני שבאו לאויר כלי תחילה, וכל טיפה היתה יכולה שלא להיבלע בספוג, וצ"ב אם הראשונים שבציון 242 חולקים, או שלדעתם תולים שחלק מהמים שהגיעו לספוג, מתחילה היו עומדים להגיע לתוכו, או שהם פסולים משום חציצה, עי' מסקנת החזו"א שם. ועי' ציונים 242, 279.</w:t>
      </w:r>
    </w:p>
  </w:footnote>
  <w:footnote w:id="131">
    <w:p w14:paraId="76827B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w:t>
      </w:r>
      <w:r>
        <w:rPr>
          <w:rFonts w:ascii="David" w:hAnsi="David" w:cs="David"/>
          <w:sz w:val="24"/>
          <w:szCs w:val="24"/>
          <w:rtl/>
        </w:rPr>
        <w:t xml:space="preserve"> </w:t>
      </w:r>
      <w:r>
        <w:rPr>
          <w:rFonts w:ascii="David" w:hAnsi="David" w:cs="David"/>
          <w:color w:val="000000"/>
          <w:sz w:val="18"/>
          <w:szCs w:val="18"/>
          <w:rtl/>
        </w:rPr>
        <w:t>. ציון 267 ואילך.</w:t>
      </w:r>
    </w:p>
  </w:footnote>
  <w:footnote w:id="132">
    <w:p w14:paraId="06D203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w:t>
      </w:r>
      <w:r>
        <w:rPr>
          <w:rFonts w:ascii="David" w:hAnsi="David" w:cs="David"/>
          <w:sz w:val="24"/>
          <w:szCs w:val="24"/>
          <w:rtl/>
        </w:rPr>
        <w:t xml:space="preserve"> </w:t>
      </w:r>
      <w:r>
        <w:rPr>
          <w:rFonts w:ascii="David" w:hAnsi="David" w:cs="David"/>
          <w:color w:val="000000"/>
          <w:sz w:val="18"/>
          <w:szCs w:val="18"/>
          <w:rtl/>
        </w:rPr>
        <w:t>. דברי מלכיאל דלהלן. ועי' ציון 237.</w:t>
      </w:r>
    </w:p>
  </w:footnote>
  <w:footnote w:id="133">
    <w:p w14:paraId="41E06A2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w:t>
      </w:r>
      <w:r>
        <w:rPr>
          <w:rFonts w:ascii="David" w:hAnsi="David" w:cs="David"/>
          <w:sz w:val="24"/>
          <w:szCs w:val="24"/>
          <w:rtl/>
        </w:rPr>
        <w:t xml:space="preserve"> </w:t>
      </w:r>
      <w:r>
        <w:rPr>
          <w:rFonts w:ascii="David" w:hAnsi="David" w:cs="David"/>
          <w:color w:val="000000"/>
          <w:sz w:val="18"/>
          <w:szCs w:val="18"/>
          <w:rtl/>
        </w:rPr>
        <w:t>. שו"ת דברי מלכיאל ח"ב סי' סה אות ז ואילך, ע"פ רש"י יומא נח א ד"ה זולף והולך, אבל אפשר שטס"ה ברש"י, וצ"ל נובעין, ולא נוגעין, עי' ריטב"א שם. ועי' דברי מלכיאל שם אות ז, שנ' שפי' ראשונים הנ"ל שבציון 741, שכשיש בכלי ספוג, אף שאר המים אינם כשרים, משום שלא נחו בכלי.</w:t>
      </w:r>
    </w:p>
  </w:footnote>
  <w:footnote w:id="134">
    <w:p w14:paraId="59546F9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w:t>
      </w:r>
      <w:r>
        <w:rPr>
          <w:rFonts w:ascii="David" w:hAnsi="David" w:cs="David"/>
          <w:sz w:val="24"/>
          <w:szCs w:val="24"/>
          <w:rtl/>
        </w:rPr>
        <w:t xml:space="preserve"> </w:t>
      </w:r>
      <w:r>
        <w:rPr>
          <w:rFonts w:ascii="David" w:hAnsi="David" w:cs="David"/>
          <w:color w:val="000000"/>
          <w:sz w:val="18"/>
          <w:szCs w:val="18"/>
          <w:rtl/>
        </w:rPr>
        <w:t>. עי' חס"ד בד' רשב"ג דלהלן.</w:t>
      </w:r>
    </w:p>
  </w:footnote>
  <w:footnote w:id="135">
    <w:p w14:paraId="174AF5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w:t>
      </w:r>
      <w:r>
        <w:rPr>
          <w:rFonts w:ascii="David" w:hAnsi="David" w:cs="David"/>
          <w:sz w:val="24"/>
          <w:szCs w:val="24"/>
          <w:rtl/>
        </w:rPr>
        <w:t xml:space="preserve"> </w:t>
      </w:r>
      <w:r>
        <w:rPr>
          <w:rFonts w:ascii="David" w:hAnsi="David" w:cs="David"/>
          <w:color w:val="000000"/>
          <w:sz w:val="18"/>
          <w:szCs w:val="18"/>
          <w:rtl/>
        </w:rPr>
        <w:t>. עי' ציון 284 ואילך.</w:t>
      </w:r>
    </w:p>
  </w:footnote>
  <w:footnote w:id="136">
    <w:p w14:paraId="31B3B9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w:t>
      </w:r>
      <w:r>
        <w:rPr>
          <w:rFonts w:ascii="David" w:hAnsi="David" w:cs="David"/>
          <w:sz w:val="24"/>
          <w:szCs w:val="24"/>
          <w:rtl/>
        </w:rPr>
        <w:t xml:space="preserve"> </w:t>
      </w:r>
      <w:r>
        <w:rPr>
          <w:rFonts w:ascii="David" w:hAnsi="David" w:cs="David"/>
          <w:color w:val="000000"/>
          <w:sz w:val="18"/>
          <w:szCs w:val="18"/>
          <w:rtl/>
        </w:rPr>
        <w:t>. עי' חס"ד פרה פ"ה, בד' רשב"ג בתוספתא שם, לרמב"ם שבציון 281, שהחושב לשם חטאת אחר שנפסק החבל שממלא בו כשר, ומ' שם שר"ל שהמילוי מועיל בין בשעת ביאת המים לכלי, בין בשעת העלאתו. ולכאו' אף חכמים שם אינם חולקים מעיקר הדין, ולכן הםסוברים שא"צ ניגוב, ועי' חזו"א שבציון הנ"ל. ועי' ציונים 281, 315, 349, שי"מ בע"א.</w:t>
      </w:r>
    </w:p>
  </w:footnote>
  <w:footnote w:id="137">
    <w:p w14:paraId="56CDAC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w:t>
      </w:r>
      <w:r>
        <w:rPr>
          <w:rFonts w:ascii="David" w:hAnsi="David" w:cs="David"/>
          <w:sz w:val="24"/>
          <w:szCs w:val="24"/>
          <w:rtl/>
        </w:rPr>
        <w:t xml:space="preserve"> </w:t>
      </w:r>
      <w:r>
        <w:rPr>
          <w:rFonts w:ascii="David" w:hAnsi="David" w:cs="David"/>
          <w:color w:val="000000"/>
          <w:sz w:val="18"/>
          <w:szCs w:val="18"/>
          <w:rtl/>
        </w:rPr>
        <w:t>. גבו"א דלהלן.</w:t>
      </w:r>
    </w:p>
  </w:footnote>
  <w:footnote w:id="138">
    <w:p w14:paraId="2B5390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w:t>
      </w:r>
      <w:r>
        <w:rPr>
          <w:rFonts w:ascii="David" w:hAnsi="David" w:cs="David"/>
          <w:sz w:val="24"/>
          <w:szCs w:val="24"/>
          <w:rtl/>
        </w:rPr>
        <w:t xml:space="preserve"> </w:t>
      </w:r>
      <w:r>
        <w:rPr>
          <w:rFonts w:ascii="David" w:hAnsi="David" w:cs="David"/>
          <w:color w:val="000000"/>
          <w:sz w:val="18"/>
          <w:szCs w:val="18"/>
          <w:rtl/>
        </w:rPr>
        <w:t>. גבו"א יומא מג א, לענין הפסולים למילוי לד' ר' יהודה, עי' ציונים 170, 194; מצפה איתן סוכה כא א; ע"פ רש"י יומא מג א ד"ה ולקחו; משאת המלך סי' שפז, לענין מילוי קודם שריפת הפרה, עי' ציון 152, ולענין פסול חש"ו למילוי, עי' ציון 186 ואילך. ועי' ציונים 173, 394.</w:t>
      </w:r>
    </w:p>
  </w:footnote>
  <w:footnote w:id="139">
    <w:p w14:paraId="3FCF91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w:t>
      </w:r>
      <w:r>
        <w:rPr>
          <w:rFonts w:ascii="David" w:hAnsi="David" w:cs="David"/>
          <w:sz w:val="24"/>
          <w:szCs w:val="24"/>
          <w:rtl/>
        </w:rPr>
        <w:t xml:space="preserve"> </w:t>
      </w:r>
      <w:r>
        <w:rPr>
          <w:rFonts w:ascii="David" w:hAnsi="David" w:cs="David"/>
          <w:color w:val="000000"/>
          <w:sz w:val="18"/>
          <w:szCs w:val="18"/>
          <w:rtl/>
        </w:rPr>
        <w:t>. עי' ציון 245 ואילך.</w:t>
      </w:r>
    </w:p>
  </w:footnote>
  <w:footnote w:id="140">
    <w:p w14:paraId="18FD67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w:t>
      </w:r>
      <w:r>
        <w:rPr>
          <w:rFonts w:ascii="David" w:hAnsi="David" w:cs="David"/>
          <w:sz w:val="24"/>
          <w:szCs w:val="24"/>
          <w:rtl/>
        </w:rPr>
        <w:t xml:space="preserve"> </w:t>
      </w:r>
      <w:r>
        <w:rPr>
          <w:rFonts w:ascii="David" w:hAnsi="David" w:cs="David"/>
          <w:color w:val="000000"/>
          <w:sz w:val="18"/>
          <w:szCs w:val="18"/>
          <w:rtl/>
        </w:rPr>
        <w:t>. עי' ציון 255. ועי' ציון 263, שי"ס שאם מילא ע"מ לערות לכלי אחר כשר לד"ה</w:t>
      </w:r>
    </w:p>
  </w:footnote>
  <w:footnote w:id="141">
    <w:p w14:paraId="4C7CA0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w:t>
      </w:r>
      <w:r>
        <w:rPr>
          <w:rFonts w:ascii="David" w:hAnsi="David" w:cs="David"/>
          <w:sz w:val="24"/>
          <w:szCs w:val="24"/>
          <w:rtl/>
        </w:rPr>
        <w:t xml:space="preserve"> </w:t>
      </w:r>
      <w:r>
        <w:rPr>
          <w:rFonts w:ascii="David" w:hAnsi="David" w:cs="David"/>
          <w:color w:val="000000"/>
          <w:sz w:val="18"/>
          <w:szCs w:val="18"/>
          <w:rtl/>
        </w:rPr>
        <w:t>. משאת המלך שם, ועי' ציונים 152, 187, 372. ועי' משאת המלך שם, שי"ל שמילוי לכלי ע"מ לקדש בו, חשוב שנתקיים בו תחילת הקידוש, אף על פי שקידש לבסוף בכלי אחר. וצ"ב שכשנתמלא בפסול, למה לא יוכשר ע"י שיעבירו לכלי אחר, ואולי חשוב כקידוש פסול, וא"א לחזור ולקדש.</w:t>
      </w:r>
    </w:p>
  </w:footnote>
  <w:footnote w:id="142">
    <w:p w14:paraId="64176D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w:t>
      </w:r>
      <w:r>
        <w:rPr>
          <w:rFonts w:ascii="David" w:hAnsi="David" w:cs="David"/>
          <w:sz w:val="24"/>
          <w:szCs w:val="24"/>
          <w:rtl/>
        </w:rPr>
        <w:t xml:space="preserve"> </w:t>
      </w:r>
      <w:r>
        <w:rPr>
          <w:rFonts w:ascii="David" w:hAnsi="David" w:cs="David"/>
          <w:color w:val="000000"/>
          <w:sz w:val="18"/>
          <w:szCs w:val="18"/>
          <w:rtl/>
        </w:rPr>
        <w:t>. עי' תוספתא פרה פ"ד, וחס"ד שם, ועי' מנחת ביכורים שם, שאין גורסים כן (וכ"מ בפהמ"ש פרה סופ"ד, וכן בהלכות השמיט הרמב"ם דין זה, ועי' חס"ד שם), ושכן גי' הגר"א, אבל בבהגר"א הגי' כלפנינו.</w:t>
      </w:r>
    </w:p>
  </w:footnote>
  <w:footnote w:id="143">
    <w:p w14:paraId="71D36F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w:t>
      </w:r>
      <w:r>
        <w:rPr>
          <w:rFonts w:ascii="David" w:hAnsi="David" w:cs="David"/>
          <w:sz w:val="24"/>
          <w:szCs w:val="24"/>
          <w:rtl/>
        </w:rPr>
        <w:t xml:space="preserve"> </w:t>
      </w:r>
      <w:r>
        <w:rPr>
          <w:rFonts w:ascii="David" w:hAnsi="David" w:cs="David"/>
          <w:color w:val="000000"/>
          <w:sz w:val="18"/>
          <w:szCs w:val="18"/>
          <w:rtl/>
        </w:rPr>
        <w:t>. חס"ד שם, ועי' להלן.</w:t>
      </w:r>
    </w:p>
  </w:footnote>
  <w:footnote w:id="144">
    <w:p w14:paraId="576D408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w:t>
      </w:r>
      <w:r>
        <w:rPr>
          <w:rFonts w:ascii="David" w:hAnsi="David" w:cs="David"/>
          <w:sz w:val="24"/>
          <w:szCs w:val="24"/>
          <w:rtl/>
        </w:rPr>
        <w:t xml:space="preserve"> </w:t>
      </w:r>
      <w:r>
        <w:rPr>
          <w:rFonts w:ascii="David" w:hAnsi="David" w:cs="David"/>
          <w:color w:val="000000"/>
          <w:sz w:val="18"/>
          <w:szCs w:val="18"/>
          <w:rtl/>
        </w:rPr>
        <w:t>. חס"ד שם; חזו"א פרה סי' ח ס"ק כב. ועי' מק"ד דלהלן.</w:t>
      </w:r>
    </w:p>
  </w:footnote>
  <w:footnote w:id="145">
    <w:p w14:paraId="155291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w:t>
      </w:r>
      <w:r>
        <w:rPr>
          <w:rFonts w:ascii="David" w:hAnsi="David" w:cs="David"/>
          <w:sz w:val="24"/>
          <w:szCs w:val="24"/>
          <w:rtl/>
        </w:rPr>
        <w:t xml:space="preserve"> </w:t>
      </w:r>
      <w:r>
        <w:rPr>
          <w:rFonts w:ascii="David" w:hAnsi="David" w:cs="David"/>
          <w:color w:val="000000"/>
          <w:sz w:val="18"/>
          <w:szCs w:val="18"/>
          <w:rtl/>
        </w:rPr>
        <w:t>. חס"ד שם, ועי' ציונים הבאים. ועי' חזו"א שם שתמה, הלא אפשר לקדש באפר של פרה אחרת.</w:t>
      </w:r>
    </w:p>
  </w:footnote>
  <w:footnote w:id="146">
    <w:p w14:paraId="1B94920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w:t>
      </w:r>
      <w:r>
        <w:rPr>
          <w:rFonts w:ascii="David" w:hAnsi="David" w:cs="David"/>
          <w:sz w:val="24"/>
          <w:szCs w:val="24"/>
          <w:rtl/>
        </w:rPr>
        <w:t xml:space="preserve"> </w:t>
      </w:r>
      <w:r>
        <w:rPr>
          <w:rFonts w:ascii="David" w:hAnsi="David" w:cs="David"/>
          <w:color w:val="000000"/>
          <w:sz w:val="18"/>
          <w:szCs w:val="18"/>
          <w:rtl/>
        </w:rPr>
        <w:t>. עי' ציון 332.</w:t>
      </w:r>
    </w:p>
  </w:footnote>
  <w:footnote w:id="147">
    <w:p w14:paraId="2DB296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147</w:t>
      </w:r>
      <w:r>
        <w:rPr>
          <w:rFonts w:ascii="David" w:hAnsi="David" w:cs="David"/>
          <w:sz w:val="24"/>
          <w:szCs w:val="24"/>
          <w:rtl/>
        </w:rPr>
        <w:t xml:space="preserve"> </w:t>
      </w:r>
      <w:r>
        <w:rPr>
          <w:rFonts w:ascii="David" w:hAnsi="David" w:cs="David"/>
          <w:color w:val="000000"/>
          <w:sz w:val="18"/>
          <w:szCs w:val="18"/>
          <w:rtl/>
        </w:rPr>
        <w:t>. מק"ד טהרות סי' נא אות א. וע"ע גט: לשמה ציון 667, אם שייך לכתוב גט לשם גירושין קודם קידושין.</w:t>
      </w:r>
    </w:p>
  </w:footnote>
  <w:footnote w:id="148">
    <w:p w14:paraId="37548BB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148</w:t>
      </w:r>
      <w:r>
        <w:rPr>
          <w:rFonts w:ascii="David" w:hAnsi="David" w:cs="David"/>
          <w:sz w:val="24"/>
          <w:szCs w:val="24"/>
          <w:rtl/>
        </w:rPr>
        <w:t xml:space="preserve"> </w:t>
      </w:r>
      <w:r>
        <w:rPr>
          <w:rFonts w:ascii="David" w:hAnsi="David" w:cs="David"/>
          <w:color w:val="000000"/>
          <w:sz w:val="18"/>
          <w:szCs w:val="18"/>
          <w:rtl/>
        </w:rPr>
        <w:t>. עי' ציון 141.</w:t>
      </w:r>
    </w:p>
  </w:footnote>
  <w:footnote w:id="149">
    <w:p w14:paraId="417FC2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149</w:t>
      </w:r>
      <w:r>
        <w:rPr>
          <w:rFonts w:ascii="David" w:hAnsi="David" w:cs="David"/>
          <w:sz w:val="24"/>
          <w:szCs w:val="24"/>
          <w:rtl/>
        </w:rPr>
        <w:t xml:space="preserve"> </w:t>
      </w:r>
      <w:r>
        <w:rPr>
          <w:rFonts w:ascii="David" w:hAnsi="David" w:cs="David"/>
          <w:color w:val="000000"/>
          <w:sz w:val="18"/>
          <w:szCs w:val="18"/>
          <w:rtl/>
        </w:rPr>
        <w:t>. תוספתא שם. ועי' חס"ד שם, דהיינו שתישרף כולה, ועי' לעיל.</w:t>
      </w:r>
    </w:p>
  </w:footnote>
  <w:footnote w:id="150">
    <w:p w14:paraId="5D506B6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150</w:t>
      </w:r>
      <w:r>
        <w:rPr>
          <w:rFonts w:ascii="David" w:hAnsi="David" w:cs="David"/>
          <w:sz w:val="24"/>
          <w:szCs w:val="24"/>
          <w:rtl/>
        </w:rPr>
        <w:t xml:space="preserve"> </w:t>
      </w:r>
      <w:r>
        <w:rPr>
          <w:rFonts w:ascii="David" w:hAnsi="David" w:cs="David"/>
          <w:color w:val="000000"/>
          <w:sz w:val="18"/>
          <w:szCs w:val="18"/>
          <w:rtl/>
        </w:rPr>
        <w:t>. עי' ציון 139 ואילך.</w:t>
      </w:r>
    </w:p>
  </w:footnote>
  <w:footnote w:id="151">
    <w:p w14:paraId="71357E1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151</w:t>
      </w:r>
      <w:r>
        <w:rPr>
          <w:rFonts w:ascii="David" w:hAnsi="David" w:cs="David"/>
          <w:sz w:val="24"/>
          <w:szCs w:val="24"/>
          <w:rtl/>
        </w:rPr>
        <w:t xml:space="preserve"> </w:t>
      </w:r>
      <w:r>
        <w:rPr>
          <w:rFonts w:ascii="David" w:hAnsi="David" w:cs="David"/>
          <w:color w:val="000000"/>
          <w:sz w:val="18"/>
          <w:szCs w:val="18"/>
          <w:rtl/>
        </w:rPr>
        <w:t>. עי' ציון 141.</w:t>
      </w:r>
    </w:p>
  </w:footnote>
  <w:footnote w:id="152">
    <w:p w14:paraId="2C34697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152</w:t>
      </w:r>
      <w:r>
        <w:rPr>
          <w:rFonts w:ascii="David" w:hAnsi="David" w:cs="David"/>
          <w:sz w:val="24"/>
          <w:szCs w:val="24"/>
          <w:rtl/>
        </w:rPr>
        <w:t xml:space="preserve"> </w:t>
      </w:r>
      <w:r>
        <w:rPr>
          <w:rFonts w:ascii="David" w:hAnsi="David" w:cs="David"/>
          <w:color w:val="000000"/>
          <w:sz w:val="18"/>
          <w:szCs w:val="18"/>
          <w:rtl/>
        </w:rPr>
        <w:t>. משאת המלך סי' שפז, בישוב קו' מק"ד שם, שפי' ד' תוס' חולין ט ב ד"ה טמאה, שעבודת הפרה הנעשית בכלי אבנים שאין מק"ט, היינו קודם שריפתה, שאף המילוי לצורך קידוש שאחר השריפה בכלל זה, (עי' פרה פ"ב מ"ב וסוכה כא א), והק' איך אפשר שהיו ממלאים קודם השריפה, ופי' במשאת המלך שהיינו במילוי כלי שאינו מקדש בו, (אבל לכאו' המילוי שהיה בכלי אבנים, היינו לצורך הכהן השורף את הפרה, עי' ציון 1447, והיו מקדשים מאפר קודם), ועי' ציון 187, שמטעם נוסף י"ל שהמילוי היה בכלי אחר.</w:t>
      </w:r>
    </w:p>
  </w:footnote>
  <w:footnote w:id="153">
    <w:p w14:paraId="71BDE9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153</w:t>
      </w:r>
      <w:r>
        <w:rPr>
          <w:rFonts w:ascii="David" w:hAnsi="David" w:cs="David"/>
          <w:sz w:val="24"/>
          <w:szCs w:val="24"/>
          <w:rtl/>
        </w:rPr>
        <w:t xml:space="preserve"> </w:t>
      </w:r>
      <w:r>
        <w:rPr>
          <w:rFonts w:ascii="David" w:hAnsi="David" w:cs="David"/>
          <w:color w:val="000000"/>
          <w:sz w:val="18"/>
          <w:szCs w:val="18"/>
          <w:rtl/>
        </w:rPr>
        <w:t>. עי' תוספתא דלהלן; יומא מב ב; רמב"ם פרה פ"ו ה"ב.</w:t>
      </w:r>
    </w:p>
  </w:footnote>
  <w:footnote w:id="154">
    <w:p w14:paraId="1DAF9D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154</w:t>
      </w:r>
      <w:r>
        <w:rPr>
          <w:rFonts w:ascii="David" w:hAnsi="David" w:cs="David"/>
          <w:sz w:val="24"/>
          <w:szCs w:val="24"/>
          <w:rtl/>
        </w:rPr>
        <w:t xml:space="preserve"> </w:t>
      </w:r>
      <w:r>
        <w:rPr>
          <w:rFonts w:ascii="David" w:hAnsi="David" w:cs="David"/>
          <w:color w:val="000000"/>
          <w:sz w:val="18"/>
          <w:szCs w:val="18"/>
          <w:rtl/>
        </w:rPr>
        <w:t>. תוספתא פרה פ"ד, הובאה בפהמ"ש לרמב"ם ור"ש ורא"ש ורע"ב פרה פ"ד מ"ד.</w:t>
      </w:r>
    </w:p>
  </w:footnote>
  <w:footnote w:id="155">
    <w:p w14:paraId="7530D7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155</w:t>
      </w:r>
      <w:r>
        <w:rPr>
          <w:rFonts w:ascii="David" w:hAnsi="David" w:cs="David"/>
          <w:sz w:val="24"/>
          <w:szCs w:val="24"/>
          <w:rtl/>
        </w:rPr>
        <w:t xml:space="preserve"> </w:t>
      </w:r>
      <w:r>
        <w:rPr>
          <w:rFonts w:ascii="David" w:hAnsi="David" w:cs="David"/>
          <w:color w:val="000000"/>
          <w:sz w:val="18"/>
          <w:szCs w:val="18"/>
          <w:rtl/>
        </w:rPr>
        <w:t>. במדבר יט ב.</w:t>
      </w:r>
    </w:p>
  </w:footnote>
  <w:footnote w:id="156">
    <w:p w14:paraId="6DCBF4A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156</w:t>
      </w:r>
      <w:r>
        <w:rPr>
          <w:rFonts w:ascii="David" w:hAnsi="David" w:cs="David"/>
          <w:sz w:val="24"/>
          <w:szCs w:val="24"/>
          <w:rtl/>
        </w:rPr>
        <w:t xml:space="preserve"> </w:t>
      </w:r>
      <w:r>
        <w:rPr>
          <w:rFonts w:ascii="David" w:hAnsi="David" w:cs="David"/>
          <w:color w:val="000000"/>
          <w:sz w:val="18"/>
          <w:szCs w:val="18"/>
          <w:rtl/>
        </w:rPr>
        <w:t>. רש"י יומא שם.</w:t>
      </w:r>
    </w:p>
  </w:footnote>
  <w:footnote w:id="157">
    <w:p w14:paraId="44749B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157</w:t>
      </w:r>
      <w:r>
        <w:rPr>
          <w:rFonts w:ascii="David" w:hAnsi="David" w:cs="David"/>
          <w:sz w:val="24"/>
          <w:szCs w:val="24"/>
          <w:rtl/>
        </w:rPr>
        <w:t xml:space="preserve"> </w:t>
      </w:r>
      <w:r>
        <w:rPr>
          <w:rFonts w:ascii="David" w:hAnsi="David" w:cs="David"/>
          <w:color w:val="000000"/>
          <w:sz w:val="18"/>
          <w:szCs w:val="18"/>
          <w:rtl/>
        </w:rPr>
        <w:t>. ע"ע הזאה (ב) ציון 214 ואילך. יומא שם.</w:t>
      </w:r>
    </w:p>
  </w:footnote>
  <w:footnote w:id="158">
    <w:p w14:paraId="488352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158</w:t>
      </w:r>
      <w:r>
        <w:rPr>
          <w:rFonts w:ascii="David" w:hAnsi="David" w:cs="David"/>
          <w:sz w:val="24"/>
          <w:szCs w:val="24"/>
          <w:rtl/>
        </w:rPr>
        <w:t xml:space="preserve"> </w:t>
      </w:r>
      <w:r>
        <w:rPr>
          <w:rFonts w:ascii="David" w:hAnsi="David" w:cs="David"/>
          <w:color w:val="000000"/>
          <w:sz w:val="18"/>
          <w:szCs w:val="18"/>
          <w:rtl/>
        </w:rPr>
        <w:t>. ע"ע הנ"ל ציון 408, שלד' חכמים הזאה באשה פסולה.</w:t>
      </w:r>
    </w:p>
  </w:footnote>
  <w:footnote w:id="159">
    <w:p w14:paraId="7110DC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159</w:t>
      </w:r>
      <w:r>
        <w:rPr>
          <w:rFonts w:ascii="David" w:hAnsi="David" w:cs="David"/>
          <w:sz w:val="24"/>
          <w:szCs w:val="24"/>
          <w:rtl/>
        </w:rPr>
        <w:t xml:space="preserve"> </w:t>
      </w:r>
      <w:r>
        <w:rPr>
          <w:rFonts w:ascii="David" w:hAnsi="David" w:cs="David"/>
          <w:color w:val="000000"/>
          <w:sz w:val="18"/>
          <w:szCs w:val="18"/>
          <w:rtl/>
        </w:rPr>
        <w:t>. עי' להלן ציון 164. וציון 547 ואילך על קידוש.</w:t>
      </w:r>
    </w:p>
  </w:footnote>
  <w:footnote w:id="160">
    <w:p w14:paraId="2EED15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160</w:t>
      </w:r>
      <w:r>
        <w:rPr>
          <w:rFonts w:ascii="David" w:hAnsi="David" w:cs="David"/>
          <w:sz w:val="24"/>
          <w:szCs w:val="24"/>
          <w:rtl/>
        </w:rPr>
        <w:t xml:space="preserve"> </w:t>
      </w:r>
      <w:r>
        <w:rPr>
          <w:rFonts w:ascii="David" w:hAnsi="David" w:cs="David"/>
          <w:color w:val="000000"/>
          <w:sz w:val="18"/>
          <w:szCs w:val="18"/>
          <w:rtl/>
        </w:rPr>
        <w:t>. יומא שם. ועי' רלב"ג במדבר שם. וע"ע הנ"ל ציון 214, וע' פרה אדומה, על כמה מעבודות הפרה שאינן כשרות אלא ביום.</w:t>
      </w:r>
    </w:p>
  </w:footnote>
  <w:footnote w:id="161">
    <w:p w14:paraId="586B644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161</w:t>
      </w:r>
      <w:r>
        <w:rPr>
          <w:rFonts w:ascii="David" w:hAnsi="David" w:cs="David"/>
          <w:sz w:val="24"/>
          <w:szCs w:val="24"/>
          <w:rtl/>
        </w:rPr>
        <w:t xml:space="preserve"> </w:t>
      </w:r>
      <w:r>
        <w:rPr>
          <w:rFonts w:ascii="David" w:hAnsi="David" w:cs="David"/>
          <w:color w:val="000000"/>
          <w:sz w:val="18"/>
          <w:szCs w:val="18"/>
          <w:rtl/>
        </w:rPr>
        <w:t>. רמב"ם פרה פ"ו ה"ב; החינוך סי' שצט; מאירי יומא מב ב, ע"פ גמ' שם מג א, לענין קידוש, עי' ציון 544 ואילך. ועי' חזו"א פרה סי' יא ס"ק יא, שד' המשנה פרה פ"ה מ"ד: הכל כשרים לקדש חוץ מחש"ו, כוללים את מילוי המים, ועי' ציונים 166, 171, 193.</w:t>
      </w:r>
    </w:p>
  </w:footnote>
  <w:footnote w:id="162">
    <w:p w14:paraId="2AF2876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162</w:t>
      </w:r>
      <w:r>
        <w:rPr>
          <w:rFonts w:ascii="David" w:hAnsi="David" w:cs="David"/>
          <w:sz w:val="24"/>
          <w:szCs w:val="24"/>
          <w:rtl/>
        </w:rPr>
        <w:t xml:space="preserve"> </w:t>
      </w:r>
      <w:r>
        <w:rPr>
          <w:rFonts w:ascii="David" w:hAnsi="David" w:cs="David"/>
          <w:color w:val="000000"/>
          <w:sz w:val="18"/>
          <w:szCs w:val="18"/>
          <w:rtl/>
        </w:rPr>
        <w:t>. תוספתא שם פ"ד: כל מעשיה בכהנים חוץ מאסיפת האפר והמלוי והקדוש, וכן גי' פהמ"ש לרמב"ם ורע"ב שם פ"ד מ"ד ואית דגרסי בר"ש שם, אבל הר"ש והרא"ש גרסו: כל מעשיה באנשים וכו', ועי' חזו"א שם סי' ח ס"ק כב; עי' רמב"ם ומאירי שם.</w:t>
      </w:r>
    </w:p>
  </w:footnote>
  <w:footnote w:id="163">
    <w:p w14:paraId="354065B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163</w:t>
      </w:r>
      <w:r>
        <w:rPr>
          <w:rFonts w:ascii="David" w:hAnsi="David" w:cs="David"/>
          <w:sz w:val="24"/>
          <w:szCs w:val="24"/>
          <w:rtl/>
        </w:rPr>
        <w:t xml:space="preserve"> </w:t>
      </w:r>
      <w:r>
        <w:rPr>
          <w:rFonts w:ascii="David" w:hAnsi="David" w:cs="David"/>
          <w:color w:val="000000"/>
          <w:sz w:val="18"/>
          <w:szCs w:val="18"/>
          <w:rtl/>
        </w:rPr>
        <w:t>. ע"ע פרה אדומה.</w:t>
      </w:r>
    </w:p>
  </w:footnote>
  <w:footnote w:id="164">
    <w:p w14:paraId="0289D5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164</w:t>
      </w:r>
      <w:r>
        <w:rPr>
          <w:rFonts w:ascii="David" w:hAnsi="David" w:cs="David"/>
          <w:sz w:val="24"/>
          <w:szCs w:val="24"/>
          <w:rtl/>
        </w:rPr>
        <w:t xml:space="preserve"> </w:t>
      </w:r>
      <w:r>
        <w:rPr>
          <w:rFonts w:ascii="David" w:hAnsi="David" w:cs="David"/>
          <w:color w:val="000000"/>
          <w:sz w:val="18"/>
          <w:szCs w:val="18"/>
          <w:rtl/>
        </w:rPr>
        <w:t>. מאירי שם, ע"פ יומא שם. ועי' ר"ש שם.</w:t>
      </w:r>
    </w:p>
  </w:footnote>
  <w:footnote w:id="165">
    <w:p w14:paraId="7CCD6A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165</w:t>
      </w:r>
      <w:r>
        <w:rPr>
          <w:rFonts w:ascii="David" w:hAnsi="David" w:cs="David"/>
          <w:sz w:val="24"/>
          <w:szCs w:val="24"/>
          <w:rtl/>
        </w:rPr>
        <w:t xml:space="preserve"> </w:t>
      </w:r>
      <w:r>
        <w:rPr>
          <w:rFonts w:ascii="David" w:hAnsi="David" w:cs="David"/>
          <w:color w:val="000000"/>
          <w:sz w:val="18"/>
          <w:szCs w:val="18"/>
          <w:rtl/>
        </w:rPr>
        <w:t>. עי' ציון 557.</w:t>
      </w:r>
    </w:p>
  </w:footnote>
  <w:footnote w:id="166">
    <w:p w14:paraId="6F87EB4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166</w:t>
      </w:r>
      <w:r>
        <w:rPr>
          <w:rFonts w:ascii="David" w:hAnsi="David" w:cs="David"/>
          <w:sz w:val="24"/>
          <w:szCs w:val="24"/>
          <w:rtl/>
        </w:rPr>
        <w:t xml:space="preserve"> </w:t>
      </w:r>
      <w:r>
        <w:rPr>
          <w:rFonts w:ascii="David" w:hAnsi="David" w:cs="David"/>
          <w:color w:val="000000"/>
          <w:sz w:val="18"/>
          <w:szCs w:val="18"/>
          <w:rtl/>
        </w:rPr>
        <w:t>. גבו"א יומא מג א; חזו"א סי' יא שם.</w:t>
      </w:r>
    </w:p>
  </w:footnote>
  <w:footnote w:id="167">
    <w:p w14:paraId="4C5A16C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167</w:t>
      </w:r>
      <w:r>
        <w:rPr>
          <w:rFonts w:ascii="David" w:hAnsi="David" w:cs="David"/>
          <w:sz w:val="24"/>
          <w:szCs w:val="24"/>
          <w:rtl/>
        </w:rPr>
        <w:t xml:space="preserve"> </w:t>
      </w:r>
      <w:r>
        <w:rPr>
          <w:rFonts w:ascii="David" w:hAnsi="David" w:cs="David"/>
          <w:color w:val="000000"/>
          <w:sz w:val="18"/>
          <w:szCs w:val="18"/>
          <w:rtl/>
        </w:rPr>
        <w:t>. במדבר יט יז.</w:t>
      </w:r>
    </w:p>
  </w:footnote>
  <w:footnote w:id="168">
    <w:p w14:paraId="3728A03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168</w:t>
      </w:r>
      <w:r>
        <w:rPr>
          <w:rFonts w:ascii="David" w:hAnsi="David" w:cs="David"/>
          <w:sz w:val="24"/>
          <w:szCs w:val="24"/>
          <w:rtl/>
        </w:rPr>
        <w:t xml:space="preserve"> </w:t>
      </w:r>
      <w:r>
        <w:rPr>
          <w:rFonts w:ascii="David" w:hAnsi="David" w:cs="David"/>
          <w:color w:val="000000"/>
          <w:sz w:val="18"/>
          <w:szCs w:val="18"/>
          <w:rtl/>
        </w:rPr>
        <w:t>. עי' ציון 558 ואילך.</w:t>
      </w:r>
    </w:p>
  </w:footnote>
  <w:footnote w:id="169">
    <w:p w14:paraId="2C983D1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169</w:t>
      </w:r>
      <w:r>
        <w:rPr>
          <w:rFonts w:ascii="David" w:hAnsi="David" w:cs="David"/>
          <w:sz w:val="24"/>
          <w:szCs w:val="24"/>
          <w:rtl/>
        </w:rPr>
        <w:t xml:space="preserve"> </w:t>
      </w:r>
      <w:r>
        <w:rPr>
          <w:rFonts w:ascii="David" w:hAnsi="David" w:cs="David"/>
          <w:color w:val="000000"/>
          <w:sz w:val="18"/>
          <w:szCs w:val="18"/>
          <w:rtl/>
        </w:rPr>
        <w:t>. עי' ציון 138.</w:t>
      </w:r>
    </w:p>
  </w:footnote>
  <w:footnote w:id="170">
    <w:p w14:paraId="676CA2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170</w:t>
      </w:r>
      <w:r>
        <w:rPr>
          <w:rFonts w:ascii="David" w:hAnsi="David" w:cs="David"/>
          <w:sz w:val="24"/>
          <w:szCs w:val="24"/>
          <w:rtl/>
        </w:rPr>
        <w:t xml:space="preserve"> </w:t>
      </w:r>
      <w:r>
        <w:rPr>
          <w:rFonts w:ascii="David" w:hAnsi="David" w:cs="David"/>
          <w:color w:val="000000"/>
          <w:sz w:val="18"/>
          <w:szCs w:val="18"/>
          <w:rtl/>
        </w:rPr>
        <w:t>. עי' ציון 119. גבו"א שם.</w:t>
      </w:r>
    </w:p>
  </w:footnote>
  <w:footnote w:id="171">
    <w:p w14:paraId="4D8FC3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171</w:t>
      </w:r>
      <w:r>
        <w:rPr>
          <w:rFonts w:ascii="David" w:hAnsi="David" w:cs="David"/>
          <w:sz w:val="24"/>
          <w:szCs w:val="24"/>
          <w:rtl/>
        </w:rPr>
        <w:t xml:space="preserve"> </w:t>
      </w:r>
      <w:r>
        <w:rPr>
          <w:rFonts w:ascii="David" w:hAnsi="David" w:cs="David"/>
          <w:color w:val="000000"/>
          <w:sz w:val="18"/>
          <w:szCs w:val="18"/>
          <w:rtl/>
        </w:rPr>
        <w:t>. רמב"ם פרה פ"ו ה"ב; החינוך סי' שצט; מאירי יומא מב ב; מצפה איתן סוכה כא א, בד' רש"י יומא מג א ד"ה ולקחו, ועי' להלן. ועי' חזו"א שבציון 161.</w:t>
      </w:r>
    </w:p>
  </w:footnote>
  <w:footnote w:id="172">
    <w:p w14:paraId="1F4BD5C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172</w:t>
      </w:r>
      <w:r>
        <w:rPr>
          <w:rFonts w:ascii="David" w:hAnsi="David" w:cs="David"/>
          <w:sz w:val="24"/>
          <w:szCs w:val="24"/>
          <w:rtl/>
        </w:rPr>
        <w:t xml:space="preserve"> </w:t>
      </w:r>
      <w:r>
        <w:rPr>
          <w:rFonts w:ascii="David" w:hAnsi="David" w:cs="David"/>
          <w:color w:val="000000"/>
          <w:sz w:val="18"/>
          <w:szCs w:val="18"/>
          <w:rtl/>
        </w:rPr>
        <w:t>. עי' ציון 567. עי' אחרונים דלהלן, ושבציון 193.</w:t>
      </w:r>
    </w:p>
  </w:footnote>
  <w:footnote w:id="173">
    <w:p w14:paraId="3B53EE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173</w:t>
      </w:r>
      <w:r>
        <w:rPr>
          <w:rFonts w:ascii="David" w:hAnsi="David" w:cs="David"/>
          <w:sz w:val="24"/>
          <w:szCs w:val="24"/>
          <w:rtl/>
        </w:rPr>
        <w:t xml:space="preserve"> </w:t>
      </w:r>
      <w:r>
        <w:rPr>
          <w:rFonts w:ascii="David" w:hAnsi="David" w:cs="David"/>
          <w:color w:val="000000"/>
          <w:sz w:val="18"/>
          <w:szCs w:val="18"/>
          <w:rtl/>
        </w:rPr>
        <w:t>. כס"מ שם. ועי' מצפה איתן שם, שהמילוי הוא חלק מהקידוש, ועי' ציון 138.</w:t>
      </w:r>
    </w:p>
  </w:footnote>
  <w:footnote w:id="174">
    <w:p w14:paraId="1DFE31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174</w:t>
      </w:r>
      <w:r>
        <w:rPr>
          <w:rFonts w:ascii="David" w:hAnsi="David" w:cs="David"/>
          <w:sz w:val="24"/>
          <w:szCs w:val="24"/>
          <w:rtl/>
        </w:rPr>
        <w:t xml:space="preserve"> </w:t>
      </w:r>
      <w:r>
        <w:rPr>
          <w:rFonts w:ascii="David" w:hAnsi="David" w:cs="David"/>
          <w:color w:val="000000"/>
          <w:sz w:val="18"/>
          <w:szCs w:val="18"/>
          <w:rtl/>
        </w:rPr>
        <w:t>. במדבר יט יז.</w:t>
      </w:r>
    </w:p>
  </w:footnote>
  <w:footnote w:id="175">
    <w:p w14:paraId="3BB176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175</w:t>
      </w:r>
      <w:r>
        <w:rPr>
          <w:rFonts w:ascii="David" w:hAnsi="David" w:cs="David"/>
          <w:sz w:val="24"/>
          <w:szCs w:val="24"/>
          <w:rtl/>
        </w:rPr>
        <w:t xml:space="preserve"> </w:t>
      </w:r>
      <w:r>
        <w:rPr>
          <w:rFonts w:ascii="David" w:hAnsi="David" w:cs="David"/>
          <w:color w:val="000000"/>
          <w:sz w:val="18"/>
          <w:szCs w:val="18"/>
          <w:rtl/>
        </w:rPr>
        <w:t>. ע"ע אפר חטאת ציון 30. עי' להלן ציונים 554, 569. ועי' ציון 556, שי"ס שנלמד מהיקש.</w:t>
      </w:r>
    </w:p>
  </w:footnote>
  <w:footnote w:id="176">
    <w:p w14:paraId="2215F6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176</w:t>
      </w:r>
      <w:r>
        <w:rPr>
          <w:rFonts w:ascii="David" w:hAnsi="David" w:cs="David"/>
          <w:sz w:val="24"/>
          <w:szCs w:val="24"/>
          <w:rtl/>
        </w:rPr>
        <w:t xml:space="preserve"> </w:t>
      </w:r>
      <w:r>
        <w:rPr>
          <w:rFonts w:ascii="David" w:hAnsi="David" w:cs="David"/>
          <w:color w:val="000000"/>
          <w:sz w:val="18"/>
          <w:szCs w:val="18"/>
          <w:rtl/>
        </w:rPr>
        <w:t>. מער"ק שם, וכעי"ז בערה"ש פרה סי' סא ס"ח ובדעת יוסף פרה פ"ה מ"ד.</w:t>
      </w:r>
    </w:p>
  </w:footnote>
  <w:footnote w:id="177">
    <w:p w14:paraId="3F9E28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177</w:t>
      </w:r>
      <w:r>
        <w:rPr>
          <w:rFonts w:ascii="David" w:hAnsi="David" w:cs="David"/>
          <w:sz w:val="24"/>
          <w:szCs w:val="24"/>
          <w:rtl/>
        </w:rPr>
        <w:t xml:space="preserve"> </w:t>
      </w:r>
      <w:r>
        <w:rPr>
          <w:rFonts w:ascii="David" w:hAnsi="David" w:cs="David"/>
          <w:color w:val="000000"/>
          <w:sz w:val="18"/>
          <w:szCs w:val="18"/>
          <w:rtl/>
        </w:rPr>
        <w:t>. במדבר שם.</w:t>
      </w:r>
    </w:p>
  </w:footnote>
  <w:footnote w:id="178">
    <w:p w14:paraId="318573F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178</w:t>
      </w:r>
      <w:r>
        <w:rPr>
          <w:rFonts w:ascii="David" w:hAnsi="David" w:cs="David"/>
          <w:sz w:val="24"/>
          <w:szCs w:val="24"/>
          <w:rtl/>
        </w:rPr>
        <w:t xml:space="preserve"> </w:t>
      </w:r>
      <w:r>
        <w:rPr>
          <w:rFonts w:ascii="David" w:hAnsi="David" w:cs="David"/>
          <w:color w:val="000000"/>
          <w:sz w:val="18"/>
          <w:szCs w:val="18"/>
          <w:rtl/>
        </w:rPr>
        <w:t>. עי' ציון 118.</w:t>
      </w:r>
    </w:p>
  </w:footnote>
  <w:footnote w:id="179">
    <w:p w14:paraId="67BEE2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179</w:t>
      </w:r>
      <w:r>
        <w:rPr>
          <w:rFonts w:ascii="David" w:hAnsi="David" w:cs="David"/>
          <w:sz w:val="24"/>
          <w:szCs w:val="24"/>
          <w:rtl/>
        </w:rPr>
        <w:t xml:space="preserve"> </w:t>
      </w:r>
      <w:r>
        <w:rPr>
          <w:rFonts w:ascii="David" w:hAnsi="David" w:cs="David"/>
          <w:color w:val="000000"/>
          <w:sz w:val="18"/>
          <w:szCs w:val="18"/>
          <w:rtl/>
        </w:rPr>
        <w:t>. ק"ס שם.</w:t>
      </w:r>
    </w:p>
  </w:footnote>
  <w:footnote w:id="180">
    <w:p w14:paraId="20FFBC0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180</w:t>
      </w:r>
      <w:r>
        <w:rPr>
          <w:rFonts w:ascii="David" w:hAnsi="David" w:cs="David"/>
          <w:sz w:val="24"/>
          <w:szCs w:val="24"/>
          <w:rtl/>
        </w:rPr>
        <w:t xml:space="preserve"> </w:t>
      </w:r>
      <w:r>
        <w:rPr>
          <w:rFonts w:ascii="David" w:hAnsi="David" w:cs="David"/>
          <w:color w:val="000000"/>
          <w:sz w:val="18"/>
          <w:szCs w:val="18"/>
          <w:rtl/>
        </w:rPr>
        <w:t>. עי' ציון 332.</w:t>
      </w:r>
    </w:p>
  </w:footnote>
  <w:footnote w:id="181">
    <w:p w14:paraId="0DDCCD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181</w:t>
      </w:r>
      <w:r>
        <w:rPr>
          <w:rFonts w:ascii="David" w:hAnsi="David" w:cs="David"/>
          <w:sz w:val="24"/>
          <w:szCs w:val="24"/>
          <w:rtl/>
        </w:rPr>
        <w:t xml:space="preserve"> </w:t>
      </w:r>
      <w:r>
        <w:rPr>
          <w:rFonts w:ascii="David" w:hAnsi="David" w:cs="David"/>
          <w:color w:val="000000"/>
          <w:sz w:val="18"/>
          <w:szCs w:val="18"/>
          <w:rtl/>
        </w:rPr>
        <w:t>. ע"ע חרש שוטה וקטן: בדברים הצריכים מחשבה וכוונה. מצפה איתן שם; צ"פ תניינא יסוה"ת פ"ו ה"ב (סו א) ד"ה והנה כ"כ; משאת המלך סי' שפז, ועי' להלן. וכ"כ חזו"א פרה סי' יא ס"ק יח, בד' ר' ישמעאל בנו של ריב"ב שבציון 590, לביאורו שבציון 505, ושאע"פ שבקידוש מועיל כשאחרים עומדים ע"ג, עי' ציון 590, במילוי אי"ז מועיל, שאינו מעשה המוכיח שנעשה לשם חטאת, וע"ע הנ"ל ציון 285.</w:t>
      </w:r>
    </w:p>
  </w:footnote>
  <w:footnote w:id="182">
    <w:p w14:paraId="6ABCF9B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182</w:t>
      </w:r>
      <w:r>
        <w:rPr>
          <w:rFonts w:ascii="David" w:hAnsi="David" w:cs="David"/>
          <w:sz w:val="24"/>
          <w:szCs w:val="24"/>
          <w:rtl/>
        </w:rPr>
        <w:t xml:space="preserve"> </w:t>
      </w:r>
      <w:r>
        <w:rPr>
          <w:rFonts w:ascii="David" w:hAnsi="David" w:cs="David"/>
          <w:color w:val="000000"/>
          <w:sz w:val="18"/>
          <w:szCs w:val="18"/>
          <w:rtl/>
        </w:rPr>
        <w:t>. פרה פ"ג מ"ב, ועי' להלן ציון 1447.</w:t>
      </w:r>
    </w:p>
  </w:footnote>
  <w:footnote w:id="183">
    <w:p w14:paraId="6EC577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183</w:t>
      </w:r>
      <w:r>
        <w:rPr>
          <w:rFonts w:ascii="David" w:hAnsi="David" w:cs="David"/>
          <w:sz w:val="24"/>
          <w:szCs w:val="24"/>
          <w:rtl/>
        </w:rPr>
        <w:t xml:space="preserve"> </w:t>
      </w:r>
      <w:r>
        <w:rPr>
          <w:rFonts w:ascii="David" w:hAnsi="David" w:cs="David"/>
          <w:color w:val="000000"/>
          <w:sz w:val="18"/>
          <w:szCs w:val="18"/>
          <w:rtl/>
        </w:rPr>
        <w:t>. ע"ע פרה אדומה. מצפה איתן וערל"נ סוכה כא א; חס"ד פרה פ"ג; עי' תפא"י בועז שם אות ו, וערה"ש שם ס"ו. ועי' מצפה איתן וחס"ד שם, שכעי"ז בתוי"ט דלהלן ציון 578, לענין קידוש. ועי' ציונים 294, 1422, 1465.</w:t>
      </w:r>
    </w:p>
  </w:footnote>
  <w:footnote w:id="184">
    <w:p w14:paraId="287F25F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184</w:t>
      </w:r>
      <w:r>
        <w:rPr>
          <w:rFonts w:ascii="David" w:hAnsi="David" w:cs="David"/>
          <w:sz w:val="24"/>
          <w:szCs w:val="24"/>
          <w:rtl/>
        </w:rPr>
        <w:t xml:space="preserve"> </w:t>
      </w:r>
      <w:r>
        <w:rPr>
          <w:rFonts w:ascii="David" w:hAnsi="David" w:cs="David"/>
          <w:color w:val="000000"/>
          <w:sz w:val="18"/>
          <w:szCs w:val="18"/>
          <w:rtl/>
        </w:rPr>
        <w:t>. עי' ציון 141.</w:t>
      </w:r>
    </w:p>
  </w:footnote>
  <w:footnote w:id="185">
    <w:p w14:paraId="30E0FA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185</w:t>
      </w:r>
      <w:r>
        <w:rPr>
          <w:rFonts w:ascii="David" w:hAnsi="David" w:cs="David"/>
          <w:sz w:val="24"/>
          <w:szCs w:val="24"/>
          <w:rtl/>
        </w:rPr>
        <w:t xml:space="preserve"> </w:t>
      </w:r>
      <w:r>
        <w:rPr>
          <w:rFonts w:ascii="David" w:hAnsi="David" w:cs="David"/>
          <w:color w:val="000000"/>
          <w:sz w:val="18"/>
          <w:szCs w:val="18"/>
          <w:rtl/>
        </w:rPr>
        <w:t>. עי' ציון 139 ואילך.</w:t>
      </w:r>
    </w:p>
  </w:footnote>
  <w:footnote w:id="186">
    <w:p w14:paraId="41E3E0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186</w:t>
      </w:r>
      <w:r>
        <w:rPr>
          <w:rFonts w:ascii="David" w:hAnsi="David" w:cs="David"/>
          <w:sz w:val="24"/>
          <w:szCs w:val="24"/>
          <w:rtl/>
        </w:rPr>
        <w:t xml:space="preserve"> </w:t>
      </w:r>
      <w:r>
        <w:rPr>
          <w:rFonts w:ascii="David" w:hAnsi="David" w:cs="David"/>
          <w:color w:val="000000"/>
          <w:sz w:val="18"/>
          <w:szCs w:val="18"/>
          <w:rtl/>
        </w:rPr>
        <w:t>. עי' ציון 141.</w:t>
      </w:r>
    </w:p>
  </w:footnote>
  <w:footnote w:id="187">
    <w:p w14:paraId="5E346D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187</w:t>
      </w:r>
      <w:r>
        <w:rPr>
          <w:rFonts w:ascii="David" w:hAnsi="David" w:cs="David"/>
          <w:sz w:val="24"/>
          <w:szCs w:val="24"/>
          <w:rtl/>
        </w:rPr>
        <w:t xml:space="preserve"> </w:t>
      </w:r>
      <w:r>
        <w:rPr>
          <w:rFonts w:ascii="David" w:hAnsi="David" w:cs="David"/>
          <w:color w:val="000000"/>
          <w:sz w:val="18"/>
          <w:szCs w:val="18"/>
          <w:rtl/>
        </w:rPr>
        <w:t>. משאת המלך שם, (שדוקא כשבכלל הקידוש הוא, טעון לשמה, עי' לעיל). ועי' ציון 152, שמטעם נוסף י"ל שהמילוי היה בכלי אחר. ועי' משאת המלך שם, שדוחק לומר שלא פסלו הראשונים לעיל, אלא בקטן שאין לו כוונה.</w:t>
      </w:r>
    </w:p>
  </w:footnote>
  <w:footnote w:id="188">
    <w:p w14:paraId="1C53A4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188</w:t>
      </w:r>
      <w:r>
        <w:rPr>
          <w:rFonts w:ascii="David" w:hAnsi="David" w:cs="David"/>
          <w:sz w:val="24"/>
          <w:szCs w:val="24"/>
          <w:rtl/>
        </w:rPr>
        <w:t xml:space="preserve"> </w:t>
      </w:r>
      <w:r>
        <w:rPr>
          <w:rFonts w:ascii="David" w:hAnsi="David" w:cs="David"/>
          <w:color w:val="000000"/>
          <w:sz w:val="18"/>
          <w:szCs w:val="18"/>
          <w:rtl/>
        </w:rPr>
        <w:t>. עי' ציון 281.</w:t>
      </w:r>
    </w:p>
  </w:footnote>
  <w:footnote w:id="189">
    <w:p w14:paraId="4FD60E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189</w:t>
      </w:r>
      <w:r>
        <w:rPr>
          <w:rFonts w:ascii="David" w:hAnsi="David" w:cs="David"/>
          <w:sz w:val="24"/>
          <w:szCs w:val="24"/>
          <w:rtl/>
        </w:rPr>
        <w:t xml:space="preserve"> </w:t>
      </w:r>
      <w:r>
        <w:rPr>
          <w:rFonts w:ascii="David" w:hAnsi="David" w:cs="David"/>
          <w:color w:val="000000"/>
          <w:sz w:val="18"/>
          <w:szCs w:val="18"/>
          <w:rtl/>
        </w:rPr>
        <w:t>. שהם וישפה פרה פ"ו ה"ב; חזו"א שם סי' ו ס"ק ט. ועי' צ"פ שם, שאפשר שמילוי ע"י חש"ו גרוע מנתמלא מאליו, וצ"ב. ועי' תוס' סוכה כא א ד"ה ומביאין (וזבחים קיג א ד"ה ומלאו), ומצפה איתן וערל"נ סוכה שם בדעתם, שקטנים כשרים למילוי, ואפשר שהוא לשיטתם שם ד"ה ירדו, שנתמלא מאליו כשר, עי' ציון הנ"ל.</w:t>
      </w:r>
    </w:p>
  </w:footnote>
  <w:footnote w:id="190">
    <w:p w14:paraId="61E9E41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190</w:t>
      </w:r>
      <w:r>
        <w:rPr>
          <w:rFonts w:ascii="David" w:hAnsi="David" w:cs="David"/>
          <w:sz w:val="24"/>
          <w:szCs w:val="24"/>
          <w:rtl/>
        </w:rPr>
        <w:t xml:space="preserve"> </w:t>
      </w:r>
      <w:r>
        <w:rPr>
          <w:rFonts w:ascii="David" w:hAnsi="David" w:cs="David"/>
          <w:color w:val="000000"/>
          <w:sz w:val="18"/>
          <w:szCs w:val="18"/>
          <w:rtl/>
        </w:rPr>
        <w:t>. עי' ציון 332 ואילך.</w:t>
      </w:r>
    </w:p>
  </w:footnote>
  <w:footnote w:id="191">
    <w:p w14:paraId="64E0B5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191</w:t>
      </w:r>
      <w:r>
        <w:rPr>
          <w:rFonts w:ascii="David" w:hAnsi="David" w:cs="David"/>
          <w:sz w:val="24"/>
          <w:szCs w:val="24"/>
          <w:rtl/>
        </w:rPr>
        <w:t xml:space="preserve"> </w:t>
      </w:r>
      <w:r>
        <w:rPr>
          <w:rFonts w:ascii="David" w:hAnsi="David" w:cs="David"/>
          <w:color w:val="000000"/>
          <w:sz w:val="18"/>
          <w:szCs w:val="18"/>
          <w:rtl/>
        </w:rPr>
        <w:t>. חזו"א שם.</w:t>
      </w:r>
    </w:p>
  </w:footnote>
  <w:footnote w:id="192">
    <w:p w14:paraId="1BAF2D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192</w:t>
      </w:r>
      <w:r>
        <w:rPr>
          <w:rFonts w:ascii="David" w:hAnsi="David" w:cs="David"/>
          <w:sz w:val="24"/>
          <w:szCs w:val="24"/>
          <w:rtl/>
        </w:rPr>
        <w:t xml:space="preserve"> </w:t>
      </w:r>
      <w:r>
        <w:rPr>
          <w:rFonts w:ascii="David" w:hAnsi="David" w:cs="David"/>
          <w:color w:val="000000"/>
          <w:sz w:val="18"/>
          <w:szCs w:val="18"/>
          <w:rtl/>
        </w:rPr>
        <w:t>. עי' ציון 580. ועי' ציון 584, שדוקא קטן הכשיר ולא חרש ושוטה, וציון 587, שי"ס שלא הכשיר אלא קטן שיש בו דעת.</w:t>
      </w:r>
    </w:p>
  </w:footnote>
  <w:footnote w:id="193">
    <w:p w14:paraId="2A6F2FA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193</w:t>
      </w:r>
      <w:r>
        <w:rPr>
          <w:rFonts w:ascii="David" w:hAnsi="David" w:cs="David"/>
          <w:sz w:val="24"/>
          <w:szCs w:val="24"/>
          <w:rtl/>
        </w:rPr>
        <w:t xml:space="preserve"> </w:t>
      </w:r>
      <w:r>
        <w:rPr>
          <w:rFonts w:ascii="David" w:hAnsi="David" w:cs="David"/>
          <w:color w:val="000000"/>
          <w:sz w:val="18"/>
          <w:szCs w:val="18"/>
          <w:rtl/>
        </w:rPr>
        <w:t>. אחרונים דלהלן; עי' אחרונים שבציון 173 ואילך; חזו"א שם סי' יא ס"ק יא, ועי' ציון 161.</w:t>
      </w:r>
    </w:p>
  </w:footnote>
  <w:footnote w:id="194">
    <w:p w14:paraId="0684E1B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194</w:t>
      </w:r>
      <w:r>
        <w:rPr>
          <w:rFonts w:ascii="David" w:hAnsi="David" w:cs="David"/>
          <w:sz w:val="24"/>
          <w:szCs w:val="24"/>
          <w:rtl/>
        </w:rPr>
        <w:t xml:space="preserve"> </w:t>
      </w:r>
      <w:r>
        <w:rPr>
          <w:rFonts w:ascii="David" w:hAnsi="David" w:cs="David"/>
          <w:color w:val="000000"/>
          <w:sz w:val="18"/>
          <w:szCs w:val="18"/>
          <w:rtl/>
        </w:rPr>
        <w:t>. עי' ציון 138. גבו"א יומא מג א, וע"ש שהוכיח מפסול אשה, שנאמר במילוי ולומדים לקידוש, עי' ציון 170.</w:t>
      </w:r>
    </w:p>
  </w:footnote>
  <w:footnote w:id="195">
    <w:p w14:paraId="32D398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195</w:t>
      </w:r>
      <w:r>
        <w:rPr>
          <w:rFonts w:ascii="David" w:hAnsi="David" w:cs="David"/>
          <w:sz w:val="24"/>
          <w:szCs w:val="24"/>
          <w:rtl/>
        </w:rPr>
        <w:t xml:space="preserve"> </w:t>
      </w:r>
      <w:r>
        <w:rPr>
          <w:rFonts w:ascii="David" w:hAnsi="David" w:cs="David"/>
          <w:color w:val="000000"/>
          <w:sz w:val="18"/>
          <w:szCs w:val="18"/>
          <w:rtl/>
        </w:rPr>
        <w:t>. שו"מ קמא ח"ב סי' קמב, ע"פ כס"מ שבציון 173.</w:t>
      </w:r>
    </w:p>
  </w:footnote>
  <w:footnote w:id="196">
    <w:p w14:paraId="7A98AA5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196</w:t>
      </w:r>
      <w:r>
        <w:rPr>
          <w:rFonts w:ascii="David" w:hAnsi="David" w:cs="David"/>
          <w:sz w:val="24"/>
          <w:szCs w:val="24"/>
          <w:rtl/>
        </w:rPr>
        <w:t xml:space="preserve"> </w:t>
      </w:r>
      <w:r>
        <w:rPr>
          <w:rFonts w:ascii="David" w:hAnsi="David" w:cs="David"/>
          <w:color w:val="000000"/>
          <w:sz w:val="18"/>
          <w:szCs w:val="18"/>
          <w:rtl/>
        </w:rPr>
        <w:t>. עי' ציון 590 ואילך, ושם בטעם הדבר.</w:t>
      </w:r>
    </w:p>
  </w:footnote>
  <w:footnote w:id="197">
    <w:p w14:paraId="4DCC81B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197</w:t>
      </w:r>
      <w:r>
        <w:rPr>
          <w:rFonts w:ascii="David" w:hAnsi="David" w:cs="David"/>
          <w:sz w:val="24"/>
          <w:szCs w:val="24"/>
          <w:rtl/>
        </w:rPr>
        <w:t xml:space="preserve"> </w:t>
      </w:r>
      <w:r>
        <w:rPr>
          <w:rFonts w:ascii="David" w:hAnsi="David" w:cs="David"/>
          <w:color w:val="000000"/>
          <w:sz w:val="18"/>
          <w:szCs w:val="18"/>
          <w:rtl/>
        </w:rPr>
        <w:t>. חזו"א שם ס"ק יח, ע"ש ב' טעמים, לשיטתו בציון 504.</w:t>
      </w:r>
    </w:p>
  </w:footnote>
  <w:footnote w:id="198">
    <w:p w14:paraId="3999DB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198</w:t>
      </w:r>
      <w:r>
        <w:rPr>
          <w:rFonts w:ascii="David" w:hAnsi="David" w:cs="David"/>
          <w:sz w:val="24"/>
          <w:szCs w:val="24"/>
          <w:rtl/>
        </w:rPr>
        <w:t xml:space="preserve"> </w:t>
      </w:r>
      <w:r>
        <w:rPr>
          <w:rFonts w:ascii="David" w:hAnsi="David" w:cs="David"/>
          <w:color w:val="000000"/>
          <w:sz w:val="18"/>
          <w:szCs w:val="18"/>
          <w:rtl/>
        </w:rPr>
        <w:t>. עי' רמב"ם פרה פ"א הי"ג ופ"י ה"ה, ועי' דעת יוסף פרה פ"ג מ"ח, ועי' ציון 1138, ועי' להלן. ועי' חזו"א פרה סי' ו ס"ק ט, לסוברים שא"צ כח אדם במילוי, שצריך למלאות לדעת אדם, וטמא פסול לכך, ועי' ציונים 191, 345.</w:t>
      </w:r>
    </w:p>
  </w:footnote>
  <w:footnote w:id="199">
    <w:p w14:paraId="5E9793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199</w:t>
      </w:r>
      <w:r>
        <w:rPr>
          <w:rFonts w:ascii="David" w:hAnsi="David" w:cs="David"/>
          <w:sz w:val="24"/>
          <w:szCs w:val="24"/>
          <w:rtl/>
        </w:rPr>
        <w:t xml:space="preserve"> </w:t>
      </w:r>
      <w:r>
        <w:rPr>
          <w:rFonts w:ascii="David" w:hAnsi="David" w:cs="David"/>
          <w:color w:val="000000"/>
          <w:sz w:val="18"/>
          <w:szCs w:val="18"/>
          <w:rtl/>
        </w:rPr>
        <w:t>. עי' ציון 594. דעת יוסף שם. וכ"מ באחרונים שבציון 173 ואילך.</w:t>
      </w:r>
    </w:p>
  </w:footnote>
  <w:footnote w:id="200">
    <w:p w14:paraId="780E04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200</w:t>
      </w:r>
      <w:r>
        <w:rPr>
          <w:rFonts w:ascii="David" w:hAnsi="David" w:cs="David"/>
          <w:sz w:val="24"/>
          <w:szCs w:val="24"/>
          <w:rtl/>
        </w:rPr>
        <w:t xml:space="preserve"> </w:t>
      </w:r>
      <w:r>
        <w:rPr>
          <w:rFonts w:ascii="David" w:hAnsi="David" w:cs="David"/>
          <w:color w:val="000000"/>
          <w:sz w:val="18"/>
          <w:szCs w:val="18"/>
          <w:rtl/>
        </w:rPr>
        <w:t>. ציון 597 ואילך. וע"ש שי"ס שפסולו נלמד מפסולו לאסיפת האפר, (ועי' ציון 173 ואילך, שהפסולים לאסיפת האפר, פסולים למילוי), ושי"ס שהפסולים לשריפת הפרה, פסולים לכל עסק מי חטאת. ועי' ציון 1041.</w:t>
      </w:r>
    </w:p>
  </w:footnote>
  <w:footnote w:id="201">
    <w:p w14:paraId="4CDCEF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201</w:t>
      </w:r>
      <w:r>
        <w:rPr>
          <w:rFonts w:ascii="David" w:hAnsi="David" w:cs="David"/>
          <w:sz w:val="24"/>
          <w:szCs w:val="24"/>
          <w:rtl/>
        </w:rPr>
        <w:t xml:space="preserve"> </w:t>
      </w:r>
      <w:r>
        <w:rPr>
          <w:rFonts w:ascii="David" w:hAnsi="David" w:cs="David"/>
          <w:color w:val="000000"/>
          <w:sz w:val="18"/>
          <w:szCs w:val="18"/>
          <w:rtl/>
        </w:rPr>
        <w:t>. ע"ע ערל.</w:t>
      </w:r>
    </w:p>
  </w:footnote>
  <w:footnote w:id="202">
    <w:p w14:paraId="52E90F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202</w:t>
      </w:r>
      <w:r>
        <w:rPr>
          <w:rFonts w:ascii="David" w:hAnsi="David" w:cs="David"/>
          <w:sz w:val="24"/>
          <w:szCs w:val="24"/>
          <w:rtl/>
        </w:rPr>
        <w:t xml:space="preserve"> </w:t>
      </w:r>
      <w:r>
        <w:rPr>
          <w:rFonts w:ascii="David" w:hAnsi="David" w:cs="David"/>
          <w:color w:val="000000"/>
          <w:sz w:val="18"/>
          <w:szCs w:val="18"/>
          <w:rtl/>
        </w:rPr>
        <w:t>. קר"א יבמות עד א, שאינו גרוע מטבו"י שכשר, עי' ציון 606, ועי' שיעורי ר"ד פוברסקי שם עב ב אות קיב, ועי' ציון 611 ואילך, ושם שי"ס שערל פסול לקידוש לד"ה, ולכאו' ה"ה למילוי.</w:t>
      </w:r>
    </w:p>
  </w:footnote>
  <w:footnote w:id="203">
    <w:p w14:paraId="5211D9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203</w:t>
      </w:r>
      <w:r>
        <w:rPr>
          <w:rFonts w:ascii="David" w:hAnsi="David" w:cs="David"/>
          <w:sz w:val="24"/>
          <w:szCs w:val="24"/>
          <w:rtl/>
        </w:rPr>
        <w:t xml:space="preserve"> </w:t>
      </w:r>
      <w:r>
        <w:rPr>
          <w:rFonts w:ascii="David" w:hAnsi="David" w:cs="David"/>
          <w:color w:val="000000"/>
          <w:sz w:val="18"/>
          <w:szCs w:val="18"/>
          <w:rtl/>
        </w:rPr>
        <w:t>. ציון 264 ואילך. ועי' לעיל ציון 45.</w:t>
      </w:r>
    </w:p>
  </w:footnote>
  <w:footnote w:id="204">
    <w:p w14:paraId="11CD97D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204</w:t>
      </w:r>
      <w:r>
        <w:rPr>
          <w:rFonts w:ascii="David" w:hAnsi="David" w:cs="David"/>
          <w:sz w:val="24"/>
          <w:szCs w:val="24"/>
          <w:rtl/>
        </w:rPr>
        <w:t xml:space="preserve"> </w:t>
      </w:r>
      <w:r>
        <w:rPr>
          <w:rFonts w:ascii="David" w:hAnsi="David" w:cs="David"/>
          <w:color w:val="000000"/>
          <w:sz w:val="18"/>
          <w:szCs w:val="18"/>
          <w:rtl/>
        </w:rPr>
        <w:t>. פרה פ"ה מ"ה (וע"ש פ"ו מ"ה) וידים פ"א מ"ב; רמב"ם פרה פ"ו ה"א וב.</w:t>
      </w:r>
    </w:p>
  </w:footnote>
  <w:footnote w:id="205">
    <w:p w14:paraId="1746C3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205</w:t>
      </w:r>
      <w:r>
        <w:rPr>
          <w:rFonts w:ascii="David" w:hAnsi="David" w:cs="David"/>
          <w:sz w:val="24"/>
          <w:szCs w:val="24"/>
          <w:rtl/>
        </w:rPr>
        <w:t xml:space="preserve"> </w:t>
      </w:r>
      <w:r>
        <w:rPr>
          <w:rFonts w:ascii="David" w:hAnsi="David" w:cs="David"/>
          <w:color w:val="000000"/>
          <w:sz w:val="18"/>
          <w:szCs w:val="18"/>
          <w:rtl/>
        </w:rPr>
        <w:t>. במדבר יט יז. רמב"ם שם ה"א; רע"ב ידים שם. ועי' ציון 444.</w:t>
      </w:r>
    </w:p>
  </w:footnote>
  <w:footnote w:id="206">
    <w:p w14:paraId="10CCF8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206</w:t>
      </w:r>
      <w:r>
        <w:rPr>
          <w:rFonts w:ascii="David" w:hAnsi="David" w:cs="David"/>
          <w:sz w:val="24"/>
          <w:szCs w:val="24"/>
          <w:rtl/>
        </w:rPr>
        <w:t xml:space="preserve"> </w:t>
      </w:r>
      <w:r>
        <w:rPr>
          <w:rFonts w:ascii="David" w:hAnsi="David" w:cs="David"/>
          <w:color w:val="000000"/>
          <w:sz w:val="18"/>
          <w:szCs w:val="18"/>
          <w:rtl/>
        </w:rPr>
        <w:t>. עי' רמב"ם שם ה"ד וכס"מ שם.</w:t>
      </w:r>
    </w:p>
  </w:footnote>
  <w:footnote w:id="207">
    <w:p w14:paraId="227357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207</w:t>
      </w:r>
      <w:r>
        <w:rPr>
          <w:rFonts w:ascii="David" w:hAnsi="David" w:cs="David"/>
          <w:sz w:val="24"/>
          <w:szCs w:val="24"/>
          <w:rtl/>
        </w:rPr>
        <w:t xml:space="preserve"> </w:t>
      </w:r>
      <w:r>
        <w:rPr>
          <w:rFonts w:ascii="David" w:hAnsi="David" w:cs="David"/>
          <w:color w:val="000000"/>
          <w:sz w:val="18"/>
          <w:szCs w:val="18"/>
          <w:rtl/>
        </w:rPr>
        <w:t>. ציון 451 ואילך.</w:t>
      </w:r>
    </w:p>
  </w:footnote>
  <w:footnote w:id="208">
    <w:p w14:paraId="3DE24C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208</w:t>
      </w:r>
      <w:r>
        <w:rPr>
          <w:rFonts w:ascii="David" w:hAnsi="David" w:cs="David"/>
          <w:sz w:val="24"/>
          <w:szCs w:val="24"/>
          <w:rtl/>
        </w:rPr>
        <w:t xml:space="preserve"> </w:t>
      </w:r>
      <w:r>
        <w:rPr>
          <w:rFonts w:ascii="David" w:hAnsi="David" w:cs="David"/>
          <w:color w:val="000000"/>
          <w:sz w:val="18"/>
          <w:szCs w:val="18"/>
          <w:rtl/>
        </w:rPr>
        <w:t>. עי' פרה פ"ה מ"א - ד, ופהמ"ש לרמב"ם שם מ"א, ועי' חזו"א פרה סי' יא ס"ק ט. ועי' חזו"א שם, שתמה על אחרונים שבציון 378, שפי' משנה פרה פ"ה מ"ב, שהמטביל כלי במים הראויים לקדש ממלא בו וא"צ לנגב, שמתקדשים אף המים הראשונים, הרי הכלי היה טמא מתחילה, והמילוי חל קודם שנטהר, עי' ציון 124, ועי' ציון 1051 ואילך, שהמים מק"ט אף קודם שנתלשו, וע"ש שפי' המשנה באופ"א.</w:t>
      </w:r>
    </w:p>
  </w:footnote>
  <w:footnote w:id="209">
    <w:p w14:paraId="2DA191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209</w:t>
      </w:r>
      <w:r>
        <w:rPr>
          <w:rFonts w:ascii="David" w:hAnsi="David" w:cs="David"/>
          <w:sz w:val="24"/>
          <w:szCs w:val="24"/>
          <w:rtl/>
        </w:rPr>
        <w:t xml:space="preserve"> </w:t>
      </w:r>
      <w:r>
        <w:rPr>
          <w:rFonts w:ascii="David" w:hAnsi="David" w:cs="David"/>
          <w:color w:val="000000"/>
          <w:sz w:val="18"/>
          <w:szCs w:val="18"/>
          <w:rtl/>
        </w:rPr>
        <w:t>. עי' חזו"א שם. ועי' ציונים 198, 594, שהממלא והמקדש צריך שיהיו טהורים, וע' אפר חטאת ציון 33, שהאוסף את האפר צריך שיהא טהור, וע' הזאה (ב) ציון 305 ואילך, שהאזוב צריך שיהא טהור.</w:t>
      </w:r>
    </w:p>
  </w:footnote>
  <w:footnote w:id="210">
    <w:p w14:paraId="2A6907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210</w:t>
      </w:r>
      <w:r>
        <w:rPr>
          <w:rFonts w:ascii="David" w:hAnsi="David" w:cs="David"/>
          <w:sz w:val="24"/>
          <w:szCs w:val="24"/>
          <w:rtl/>
        </w:rPr>
        <w:t xml:space="preserve"> </w:t>
      </w:r>
      <w:r>
        <w:rPr>
          <w:rFonts w:ascii="David" w:hAnsi="David" w:cs="David"/>
          <w:color w:val="000000"/>
          <w:sz w:val="18"/>
          <w:szCs w:val="18"/>
          <w:rtl/>
        </w:rPr>
        <w:t>. חזו"א שם.</w:t>
      </w:r>
    </w:p>
  </w:footnote>
  <w:footnote w:id="211">
    <w:p w14:paraId="1A5536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211</w:t>
      </w:r>
      <w:r>
        <w:rPr>
          <w:rFonts w:ascii="David" w:hAnsi="David" w:cs="David"/>
          <w:sz w:val="24"/>
          <w:szCs w:val="24"/>
          <w:rtl/>
        </w:rPr>
        <w:t xml:space="preserve"> </w:t>
      </w:r>
      <w:r>
        <w:rPr>
          <w:rFonts w:ascii="David" w:hAnsi="David" w:cs="David"/>
          <w:color w:val="000000"/>
          <w:sz w:val="18"/>
          <w:szCs w:val="18"/>
          <w:rtl/>
        </w:rPr>
        <w:t>. ציונים 912 ואילך, 1038 ואילך.</w:t>
      </w:r>
    </w:p>
  </w:footnote>
  <w:footnote w:id="212">
    <w:p w14:paraId="52231AA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212</w:t>
      </w:r>
      <w:r>
        <w:rPr>
          <w:rFonts w:ascii="David" w:hAnsi="David" w:cs="David"/>
          <w:sz w:val="24"/>
          <w:szCs w:val="24"/>
          <w:rtl/>
        </w:rPr>
        <w:t xml:space="preserve"> </w:t>
      </w:r>
      <w:r>
        <w:rPr>
          <w:rFonts w:ascii="David" w:hAnsi="David" w:cs="David"/>
          <w:color w:val="000000"/>
          <w:sz w:val="18"/>
          <w:szCs w:val="18"/>
          <w:rtl/>
        </w:rPr>
        <w:t>. ע"ע כלים ציון 822, וע' כלים /כלי אבנים כלי אדמה כלי גללים.</w:t>
      </w:r>
    </w:p>
  </w:footnote>
  <w:footnote w:id="213">
    <w:p w14:paraId="27C15E0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213</w:t>
      </w:r>
      <w:r>
        <w:rPr>
          <w:rFonts w:ascii="David" w:hAnsi="David" w:cs="David"/>
          <w:sz w:val="24"/>
          <w:szCs w:val="24"/>
          <w:rtl/>
        </w:rPr>
        <w:t xml:space="preserve"> </w:t>
      </w:r>
      <w:r>
        <w:rPr>
          <w:rFonts w:ascii="David" w:hAnsi="David" w:cs="David"/>
          <w:color w:val="000000"/>
          <w:sz w:val="18"/>
          <w:szCs w:val="18"/>
          <w:rtl/>
        </w:rPr>
        <w:t>. ציון 1447, ועי' ציון 451, שי"ס שאין מקדשים כלל בכלי המק"ט.</w:t>
      </w:r>
    </w:p>
  </w:footnote>
  <w:footnote w:id="214">
    <w:p w14:paraId="40409CE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214</w:t>
      </w:r>
      <w:r>
        <w:rPr>
          <w:rFonts w:ascii="David" w:hAnsi="David" w:cs="David"/>
          <w:sz w:val="24"/>
          <w:szCs w:val="24"/>
          <w:rtl/>
        </w:rPr>
        <w:t xml:space="preserve"> </w:t>
      </w:r>
      <w:r>
        <w:rPr>
          <w:rFonts w:ascii="David" w:hAnsi="David" w:cs="David"/>
          <w:color w:val="000000"/>
          <w:sz w:val="18"/>
          <w:szCs w:val="18"/>
          <w:rtl/>
        </w:rPr>
        <w:t>. רש"י יומא נח א ד"ה זולף (הב') ומאירי שם, בביאור גמ' שם, ועי' להלן; ר"ש ורע"ב פרה פ"ח מ"י ותוס' סנהדרין ה ב ד"ה פסולין, בפי' משנה דלהלן. ועי' ציונים 404, 421. ועי' ציון 129 ואילך, שאויר אינו חוצץ, אלא שי"ס שאם לא נחו בכלי אינו חשוב מילוי מטעם אחר.</w:t>
      </w:r>
    </w:p>
  </w:footnote>
  <w:footnote w:id="215">
    <w:p w14:paraId="09CF9DB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215</w:t>
      </w:r>
      <w:r>
        <w:rPr>
          <w:rFonts w:ascii="David" w:hAnsi="David" w:cs="David"/>
          <w:sz w:val="24"/>
          <w:szCs w:val="24"/>
          <w:rtl/>
        </w:rPr>
        <w:t xml:space="preserve"> </w:t>
      </w:r>
      <w:r>
        <w:rPr>
          <w:rFonts w:ascii="David" w:hAnsi="David" w:cs="David"/>
          <w:color w:val="000000"/>
          <w:sz w:val="18"/>
          <w:szCs w:val="18"/>
          <w:rtl/>
        </w:rPr>
        <w:t>. עי' ר"ש ורע"ב דלהלן.</w:t>
      </w:r>
    </w:p>
  </w:footnote>
  <w:footnote w:id="216">
    <w:p w14:paraId="7CE222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216</w:t>
      </w:r>
      <w:r>
        <w:rPr>
          <w:rFonts w:ascii="David" w:hAnsi="David" w:cs="David"/>
          <w:sz w:val="24"/>
          <w:szCs w:val="24"/>
          <w:rtl/>
        </w:rPr>
        <w:t xml:space="preserve"> </w:t>
      </w:r>
      <w:r>
        <w:rPr>
          <w:rFonts w:ascii="David" w:hAnsi="David" w:cs="David"/>
          <w:color w:val="000000"/>
          <w:sz w:val="18"/>
          <w:szCs w:val="18"/>
          <w:rtl/>
        </w:rPr>
        <w:t>. משנה פרה שם.</w:t>
      </w:r>
    </w:p>
  </w:footnote>
  <w:footnote w:id="217">
    <w:p w14:paraId="0A52DB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217</w:t>
      </w:r>
      <w:r>
        <w:rPr>
          <w:rFonts w:ascii="David" w:hAnsi="David" w:cs="David"/>
          <w:sz w:val="24"/>
          <w:szCs w:val="24"/>
          <w:rtl/>
        </w:rPr>
        <w:t xml:space="preserve"> </w:t>
      </w:r>
      <w:r>
        <w:rPr>
          <w:rFonts w:ascii="David" w:hAnsi="David" w:cs="David"/>
          <w:color w:val="000000"/>
          <w:sz w:val="18"/>
          <w:szCs w:val="18"/>
          <w:rtl/>
        </w:rPr>
        <w:t>. ר"ש שם; תוס' שם, ועי' תוי"ט שם, שכ"ה כוונת רש"י שם; סמ"ג עשין רלב; רע"ב שם. ועי' דברי מלכיאל ח"ד סי' עו, של' חציצה ל"ד, וטעם הפסול הוא משום שבלועים מים בטיט, וכעין פסול ספוג שבציון 241. ועי' חזו"א פרה סי' יג ס"ק יט.</w:t>
      </w:r>
    </w:p>
  </w:footnote>
  <w:footnote w:id="218">
    <w:p w14:paraId="27C703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218</w:t>
      </w:r>
      <w:r>
        <w:rPr>
          <w:rFonts w:ascii="David" w:hAnsi="David" w:cs="David"/>
          <w:sz w:val="24"/>
          <w:szCs w:val="24"/>
          <w:rtl/>
        </w:rPr>
        <w:t xml:space="preserve"> </w:t>
      </w:r>
      <w:r>
        <w:rPr>
          <w:rFonts w:ascii="David" w:hAnsi="David" w:cs="David"/>
          <w:color w:val="000000"/>
          <w:sz w:val="18"/>
          <w:szCs w:val="18"/>
          <w:rtl/>
        </w:rPr>
        <w:t>. ציון 26.</w:t>
      </w:r>
    </w:p>
  </w:footnote>
  <w:footnote w:id="219">
    <w:p w14:paraId="18E37E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219</w:t>
      </w:r>
      <w:r>
        <w:rPr>
          <w:rFonts w:ascii="David" w:hAnsi="David" w:cs="David"/>
          <w:sz w:val="24"/>
          <w:szCs w:val="24"/>
          <w:rtl/>
        </w:rPr>
        <w:t xml:space="preserve"> </w:t>
      </w:r>
      <w:r>
        <w:rPr>
          <w:rFonts w:ascii="David" w:hAnsi="David" w:cs="David"/>
          <w:color w:val="000000"/>
          <w:sz w:val="18"/>
          <w:szCs w:val="18"/>
          <w:rtl/>
        </w:rPr>
        <w:t>. עי' ציון 241.</w:t>
      </w:r>
    </w:p>
  </w:footnote>
  <w:footnote w:id="220">
    <w:p w14:paraId="6A89F7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220</w:t>
      </w:r>
      <w:r>
        <w:rPr>
          <w:rFonts w:ascii="David" w:hAnsi="David" w:cs="David"/>
          <w:sz w:val="24"/>
          <w:szCs w:val="24"/>
          <w:rtl/>
        </w:rPr>
        <w:t xml:space="preserve"> </w:t>
      </w:r>
      <w:r>
        <w:rPr>
          <w:rFonts w:ascii="David" w:hAnsi="David" w:cs="David"/>
          <w:color w:val="000000"/>
          <w:sz w:val="18"/>
          <w:szCs w:val="18"/>
          <w:rtl/>
        </w:rPr>
        <w:t>. עי' רש"י ומאירי שם, בביאור גמ' יומא שם.</w:t>
      </w:r>
    </w:p>
  </w:footnote>
  <w:footnote w:id="221">
    <w:p w14:paraId="49FB51D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221</w:t>
      </w:r>
      <w:r>
        <w:rPr>
          <w:rFonts w:ascii="David" w:hAnsi="David" w:cs="David"/>
          <w:sz w:val="24"/>
          <w:szCs w:val="24"/>
          <w:rtl/>
        </w:rPr>
        <w:t xml:space="preserve"> </w:t>
      </w:r>
      <w:r>
        <w:rPr>
          <w:rFonts w:ascii="David" w:hAnsi="David" w:cs="David"/>
          <w:color w:val="000000"/>
          <w:sz w:val="18"/>
          <w:szCs w:val="18"/>
          <w:rtl/>
        </w:rPr>
        <w:t>. מאירי שם, ע"פ גמ' שם: שאני מיא דקלישי. ועי' חזו"א שם סי' יב ס"ק ח, בטעם שהמים שבספוג אינם חוצצים.</w:t>
      </w:r>
    </w:p>
  </w:footnote>
  <w:footnote w:id="222">
    <w:p w14:paraId="49808AE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222</w:t>
      </w:r>
      <w:r>
        <w:rPr>
          <w:rFonts w:ascii="David" w:hAnsi="David" w:cs="David"/>
          <w:sz w:val="24"/>
          <w:szCs w:val="24"/>
          <w:rtl/>
        </w:rPr>
        <w:t xml:space="preserve"> </w:t>
      </w:r>
      <w:r>
        <w:rPr>
          <w:rFonts w:ascii="David" w:hAnsi="David" w:cs="David"/>
          <w:color w:val="000000"/>
          <w:sz w:val="18"/>
          <w:szCs w:val="18"/>
          <w:rtl/>
        </w:rPr>
        <w:t>. ציון 887 ואילך.</w:t>
      </w:r>
    </w:p>
  </w:footnote>
  <w:footnote w:id="223">
    <w:p w14:paraId="635D0D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223</w:t>
      </w:r>
      <w:r>
        <w:rPr>
          <w:rFonts w:ascii="David" w:hAnsi="David" w:cs="David"/>
          <w:sz w:val="24"/>
          <w:szCs w:val="24"/>
          <w:rtl/>
        </w:rPr>
        <w:t xml:space="preserve"> </w:t>
      </w:r>
      <w:r>
        <w:rPr>
          <w:rFonts w:ascii="David" w:hAnsi="David" w:cs="David"/>
          <w:color w:val="000000"/>
          <w:sz w:val="18"/>
          <w:szCs w:val="18"/>
          <w:rtl/>
        </w:rPr>
        <w:t>. ציון 740.</w:t>
      </w:r>
    </w:p>
  </w:footnote>
  <w:footnote w:id="224">
    <w:p w14:paraId="03CD0B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224</w:t>
      </w:r>
      <w:r>
        <w:rPr>
          <w:rFonts w:ascii="David" w:hAnsi="David" w:cs="David"/>
          <w:sz w:val="24"/>
          <w:szCs w:val="24"/>
          <w:rtl/>
        </w:rPr>
        <w:t xml:space="preserve"> </w:t>
      </w:r>
      <w:r>
        <w:rPr>
          <w:rFonts w:ascii="David" w:hAnsi="David" w:cs="David"/>
          <w:color w:val="000000"/>
          <w:sz w:val="18"/>
          <w:szCs w:val="18"/>
          <w:rtl/>
        </w:rPr>
        <w:t>. ציון 817 ואילך.</w:t>
      </w:r>
    </w:p>
  </w:footnote>
  <w:footnote w:id="225">
    <w:p w14:paraId="6C4E1B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225</w:t>
      </w:r>
      <w:r>
        <w:rPr>
          <w:rFonts w:ascii="David" w:hAnsi="David" w:cs="David"/>
          <w:sz w:val="24"/>
          <w:szCs w:val="24"/>
          <w:rtl/>
        </w:rPr>
        <w:t xml:space="preserve"> </w:t>
      </w:r>
      <w:r>
        <w:rPr>
          <w:rFonts w:ascii="David" w:hAnsi="David" w:cs="David"/>
          <w:color w:val="000000"/>
          <w:sz w:val="18"/>
          <w:szCs w:val="18"/>
          <w:rtl/>
        </w:rPr>
        <w:t>. עי' גמ' שבציון 1053, לפי' ראשונים שבציון 1055, ועי' רבנו דוד פסחים לד ב, וע"ש בד' רש"י, אבל לכאו' אינו חולק אלא באופן שבציון 244 ואילך; עי' ראשונים ואחרונים שבציונים 235, 242, 267 ואילך, 331; ק"ס פרה פ"ו וחזו"א פרה סי' יא ס"ק טו ע"פ תוספ' שבציון 231, וכ"מ בחס"ד שבציון 232 בד' תוספ' שם; עי' מק"ד טהרות סי' נא אות ב. ועי' פרה פ"ו מ"ה, ופהמ"ש ור"ש ורע"ב וחזו"נ ובית דוד ושושנים לדוד ומים טהורים שם, ורמב"ם פרה פ"ו ה"ט. ועי' מהרש"א סוטה טז ב, שנקט שכל דין חיותם בכלי הוא דין דרבנן שבציון 250 ואילך, ועי' ציון הנ"ל.</w:t>
      </w:r>
    </w:p>
  </w:footnote>
  <w:footnote w:id="226">
    <w:p w14:paraId="0B7EBF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226</w:t>
      </w:r>
      <w:r>
        <w:rPr>
          <w:rFonts w:ascii="David" w:hAnsi="David" w:cs="David"/>
          <w:sz w:val="24"/>
          <w:szCs w:val="24"/>
          <w:rtl/>
        </w:rPr>
        <w:t xml:space="preserve"> </w:t>
      </w:r>
      <w:r>
        <w:rPr>
          <w:rFonts w:ascii="David" w:hAnsi="David" w:cs="David"/>
          <w:color w:val="000000"/>
          <w:sz w:val="18"/>
          <w:szCs w:val="18"/>
          <w:rtl/>
        </w:rPr>
        <w:t>. במדבר יט יז.</w:t>
      </w:r>
    </w:p>
  </w:footnote>
  <w:footnote w:id="227">
    <w:p w14:paraId="1890CC8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227</w:t>
      </w:r>
      <w:r>
        <w:rPr>
          <w:rFonts w:ascii="David" w:hAnsi="David" w:cs="David"/>
          <w:sz w:val="24"/>
          <w:szCs w:val="24"/>
          <w:rtl/>
        </w:rPr>
        <w:t xml:space="preserve"> </w:t>
      </w:r>
      <w:r>
        <w:rPr>
          <w:rFonts w:ascii="David" w:hAnsi="David" w:cs="David"/>
          <w:color w:val="000000"/>
          <w:sz w:val="18"/>
          <w:szCs w:val="18"/>
          <w:rtl/>
        </w:rPr>
        <w:t>. ק"ס שם. ועי' להלן.</w:t>
      </w:r>
    </w:p>
  </w:footnote>
  <w:footnote w:id="228">
    <w:p w14:paraId="060416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228</w:t>
      </w:r>
      <w:r>
        <w:rPr>
          <w:rFonts w:ascii="David" w:hAnsi="David" w:cs="David"/>
          <w:sz w:val="24"/>
          <w:szCs w:val="24"/>
          <w:rtl/>
        </w:rPr>
        <w:t xml:space="preserve"> </w:t>
      </w:r>
      <w:r>
        <w:rPr>
          <w:rFonts w:ascii="David" w:hAnsi="David" w:cs="David"/>
          <w:color w:val="000000"/>
          <w:sz w:val="18"/>
          <w:szCs w:val="18"/>
          <w:rtl/>
        </w:rPr>
        <w:t>. עי' חזו"א שם, ועי' ציון הבא.</w:t>
      </w:r>
    </w:p>
  </w:footnote>
  <w:footnote w:id="229">
    <w:p w14:paraId="65D0342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229</w:t>
      </w:r>
      <w:r>
        <w:rPr>
          <w:rFonts w:ascii="David" w:hAnsi="David" w:cs="David"/>
          <w:sz w:val="24"/>
          <w:szCs w:val="24"/>
          <w:rtl/>
        </w:rPr>
        <w:t xml:space="preserve"> </w:t>
      </w:r>
      <w:r>
        <w:rPr>
          <w:rFonts w:ascii="David" w:hAnsi="David" w:cs="David"/>
          <w:color w:val="000000"/>
          <w:sz w:val="18"/>
          <w:szCs w:val="18"/>
          <w:rtl/>
        </w:rPr>
        <w:t>. עי' פסחים שם, ועי' ציונים 251, 1053, ועי' מק"ד וחזו"א שם.</w:t>
      </w:r>
    </w:p>
  </w:footnote>
  <w:footnote w:id="230">
    <w:p w14:paraId="7F6E17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230</w:t>
      </w:r>
      <w:r>
        <w:rPr>
          <w:rFonts w:ascii="David" w:hAnsi="David" w:cs="David"/>
          <w:sz w:val="24"/>
          <w:szCs w:val="24"/>
          <w:rtl/>
        </w:rPr>
        <w:t xml:space="preserve"> </w:t>
      </w:r>
      <w:r>
        <w:rPr>
          <w:rFonts w:ascii="David" w:hAnsi="David" w:cs="David"/>
          <w:color w:val="000000"/>
          <w:sz w:val="18"/>
          <w:szCs w:val="18"/>
          <w:rtl/>
        </w:rPr>
        <w:t>. עי' מק"ד שם.</w:t>
      </w:r>
    </w:p>
  </w:footnote>
  <w:footnote w:id="231">
    <w:p w14:paraId="3D961C4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231</w:t>
      </w:r>
      <w:r>
        <w:rPr>
          <w:rFonts w:ascii="David" w:hAnsi="David" w:cs="David"/>
          <w:sz w:val="24"/>
          <w:szCs w:val="24"/>
          <w:rtl/>
        </w:rPr>
        <w:t xml:space="preserve"> </w:t>
      </w:r>
      <w:r>
        <w:rPr>
          <w:rFonts w:ascii="David" w:hAnsi="David" w:cs="David"/>
          <w:color w:val="000000"/>
          <w:sz w:val="18"/>
          <w:szCs w:val="18"/>
          <w:rtl/>
        </w:rPr>
        <w:t>. תוספתא פרה פ"ו, לגי' רמב"ם פרה פ"ו ה"ח ור"ש פרה פ"ו מ"ב.</w:t>
      </w:r>
    </w:p>
  </w:footnote>
  <w:footnote w:id="232">
    <w:p w14:paraId="42C7A3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232</w:t>
      </w:r>
      <w:r>
        <w:rPr>
          <w:rFonts w:ascii="David" w:hAnsi="David" w:cs="David"/>
          <w:sz w:val="24"/>
          <w:szCs w:val="24"/>
          <w:rtl/>
        </w:rPr>
        <w:t xml:space="preserve"> </w:t>
      </w:r>
      <w:r>
        <w:rPr>
          <w:rFonts w:ascii="David" w:hAnsi="David" w:cs="David"/>
          <w:color w:val="000000"/>
          <w:sz w:val="18"/>
          <w:szCs w:val="18"/>
          <w:rtl/>
        </w:rPr>
        <w:t>. עי' חזו"א שם (וע"ש שתמה מה הוא חרסים של שוקת), וכעי"ז בק"ס שם ובבהגר"א לתוספ' שם, ועי' ציון 280. ועי' חזו"א שם שדוקא כשעקר המים בידיו, ועי' ציון 328. ועי' חזו"א שם, שהיינו באופן שמזלף ע"ג דופני השוקת ונפל לתוכה, שאל"כ פסולים אף משום שהווייתם ע"י דבר המק"ט, עי' ציונים 316 ואילך, 328. ועי' פהמ"ש לרמב"ם פרה שם מ"ד, שנ' שמפרש התוספ' שגורף בידו ונותן בכלי, ושטעם הפסול הוא משום הווייתו ע"י דבר המק"ט, והיינו לשיטתו בציון 331, שמחמת שהווייתו ע"י דבר המק"ט חשוב שאין חיותו בכלי. ועי' חס"ד לתוספתא שם שפי' באופ"א, שאינו שואב בידיו, אלא מזלף בתוך המעיין כדי שיזרקו המים למעלה ויפלו לכלי (ובאופן זה אין חשוב הווייתו ע"י דבר המק"ט, עי' ציון 328, וע"ע מקוה), ופסולים משום שצריך שיתמלאו בתחילה מן המעיין בכלי, ואלו באו מן האויר לכלי, ומ' שאף ביאת המים מן האויר גורמת שאין חשוב חיותם בכלי, ועי' ציון 285 ואילך, שי"ס שבאופן זה פסול מטעם אחר, ועי' ציון 240.</w:t>
      </w:r>
    </w:p>
  </w:footnote>
  <w:footnote w:id="233">
    <w:p w14:paraId="7FC688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233</w:t>
      </w:r>
      <w:r>
        <w:rPr>
          <w:rFonts w:ascii="David" w:hAnsi="David" w:cs="David"/>
          <w:sz w:val="24"/>
          <w:szCs w:val="24"/>
          <w:rtl/>
        </w:rPr>
        <w:t xml:space="preserve"> </w:t>
      </w:r>
      <w:r>
        <w:rPr>
          <w:rFonts w:ascii="David" w:hAnsi="David" w:cs="David"/>
          <w:color w:val="000000"/>
          <w:sz w:val="18"/>
          <w:szCs w:val="18"/>
          <w:rtl/>
        </w:rPr>
        <w:t>. ציון 285 ואילך. ועי' ז"ז שם, באופן נוסף.</w:t>
      </w:r>
    </w:p>
  </w:footnote>
  <w:footnote w:id="234">
    <w:p w14:paraId="7E7EF0B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234</w:t>
      </w:r>
      <w:r>
        <w:rPr>
          <w:rFonts w:ascii="David" w:hAnsi="David" w:cs="David"/>
          <w:sz w:val="24"/>
          <w:szCs w:val="24"/>
          <w:rtl/>
        </w:rPr>
        <w:t xml:space="preserve"> </w:t>
      </w:r>
      <w:r>
        <w:rPr>
          <w:rFonts w:ascii="David" w:hAnsi="David" w:cs="David"/>
          <w:color w:val="000000"/>
          <w:sz w:val="18"/>
          <w:szCs w:val="18"/>
          <w:rtl/>
        </w:rPr>
        <w:t>. עי' ציון 332 ואילך.</w:t>
      </w:r>
    </w:p>
  </w:footnote>
  <w:footnote w:id="235">
    <w:p w14:paraId="66E489F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235</w:t>
      </w:r>
      <w:r>
        <w:rPr>
          <w:rFonts w:ascii="David" w:hAnsi="David" w:cs="David"/>
          <w:sz w:val="24"/>
          <w:szCs w:val="24"/>
          <w:rtl/>
        </w:rPr>
        <w:t xml:space="preserve"> </w:t>
      </w:r>
      <w:r>
        <w:rPr>
          <w:rFonts w:ascii="David" w:hAnsi="David" w:cs="David"/>
          <w:color w:val="000000"/>
          <w:sz w:val="18"/>
          <w:szCs w:val="18"/>
          <w:rtl/>
        </w:rPr>
        <w:t>. עי' רש"י זבחים כה ב ד"ה מים, ומצפה איתן שם ודברי מלכיאל ח"ב סי' סה אות ט, בדעתו, ועי' רש"ש שם; שמ"ק (אופק) חולין ט ב. ועי' מצפה איתן זבחים שם, שהטעם שלא פי' רש"י שם כשנתן הכלי הראשון לשם מי חטאת, אף על פי שלשיטתו כל מערה מכלי לכלי פסול מדרבנן, עי' ציון 250, מפני שהגמ' שם לומדת מכך לענין קבלת דם, שהוא דין מה"ת, ועי' ציונים 253, 255. ועי' ציון 237.</w:t>
      </w:r>
    </w:p>
  </w:footnote>
  <w:footnote w:id="236">
    <w:p w14:paraId="688ED1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236</w:t>
      </w:r>
      <w:r>
        <w:rPr>
          <w:rFonts w:ascii="David" w:hAnsi="David" w:cs="David"/>
          <w:sz w:val="24"/>
          <w:szCs w:val="24"/>
          <w:rtl/>
        </w:rPr>
        <w:t xml:space="preserve"> </w:t>
      </w:r>
      <w:r>
        <w:rPr>
          <w:rFonts w:ascii="David" w:hAnsi="David" w:cs="David"/>
          <w:color w:val="000000"/>
          <w:sz w:val="18"/>
          <w:szCs w:val="18"/>
          <w:rtl/>
        </w:rPr>
        <w:t>. עי' זבחים שם ורש"י שם. וע"ע אויר (א) ציון 20.</w:t>
      </w:r>
    </w:p>
  </w:footnote>
  <w:footnote w:id="237">
    <w:p w14:paraId="4A0541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237</w:t>
      </w:r>
      <w:r>
        <w:rPr>
          <w:rFonts w:ascii="David" w:hAnsi="David" w:cs="David"/>
          <w:sz w:val="24"/>
          <w:szCs w:val="24"/>
          <w:rtl/>
        </w:rPr>
        <w:t xml:space="preserve"> </w:t>
      </w:r>
      <w:r>
        <w:rPr>
          <w:rFonts w:ascii="David" w:hAnsi="David" w:cs="David"/>
          <w:color w:val="000000"/>
          <w:sz w:val="18"/>
          <w:szCs w:val="18"/>
          <w:rtl/>
        </w:rPr>
        <w:t>. דברי מלכיאל שם אות ח, ע"פ רש"י שם, ועי' מצפה איתן שם. ועי' דברי מלכיאל שם, שהיינו כשהניח הכלי הכשר אחר שבא לאויר הכלי הפסול, ועי' קר"א זבחים שם.</w:t>
      </w:r>
    </w:p>
  </w:footnote>
  <w:footnote w:id="238">
    <w:p w14:paraId="46C0E59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238</w:t>
      </w:r>
      <w:r>
        <w:rPr>
          <w:rFonts w:ascii="David" w:hAnsi="David" w:cs="David"/>
          <w:sz w:val="24"/>
          <w:szCs w:val="24"/>
          <w:rtl/>
        </w:rPr>
        <w:t xml:space="preserve"> </w:t>
      </w:r>
      <w:r>
        <w:rPr>
          <w:rFonts w:ascii="David" w:hAnsi="David" w:cs="David"/>
          <w:color w:val="000000"/>
          <w:sz w:val="18"/>
          <w:szCs w:val="18"/>
          <w:rtl/>
        </w:rPr>
        <w:t>. רש"ש שם.</w:t>
      </w:r>
    </w:p>
  </w:footnote>
  <w:footnote w:id="239">
    <w:p w14:paraId="7133CC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239</w:t>
      </w:r>
      <w:r>
        <w:rPr>
          <w:rFonts w:ascii="David" w:hAnsi="David" w:cs="David"/>
          <w:sz w:val="24"/>
          <w:szCs w:val="24"/>
          <w:rtl/>
        </w:rPr>
        <w:t xml:space="preserve"> </w:t>
      </w:r>
      <w:r>
        <w:rPr>
          <w:rFonts w:ascii="David" w:hAnsi="David" w:cs="David"/>
          <w:color w:val="000000"/>
          <w:sz w:val="18"/>
          <w:szCs w:val="18"/>
          <w:rtl/>
        </w:rPr>
        <w:t>. ציון 129 ואילך.</w:t>
      </w:r>
    </w:p>
  </w:footnote>
  <w:footnote w:id="240">
    <w:p w14:paraId="6B273F5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240</w:t>
      </w:r>
      <w:r>
        <w:rPr>
          <w:rFonts w:ascii="David" w:hAnsi="David" w:cs="David"/>
          <w:sz w:val="24"/>
          <w:szCs w:val="24"/>
          <w:rtl/>
        </w:rPr>
        <w:t xml:space="preserve"> </w:t>
      </w:r>
      <w:r>
        <w:rPr>
          <w:rFonts w:ascii="David" w:hAnsi="David" w:cs="David"/>
          <w:color w:val="000000"/>
          <w:sz w:val="18"/>
          <w:szCs w:val="18"/>
          <w:rtl/>
        </w:rPr>
        <w:t>. עי' פרה פ"ו מ"ד, וראשונים שבציונים 318, 331; עי' זבחים שם ורש"י שם. ועי' חזו"א פרה סי' יא ס"ק טו. ועי' ציון 232.</w:t>
      </w:r>
    </w:p>
  </w:footnote>
  <w:footnote w:id="241">
    <w:p w14:paraId="5BB712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241</w:t>
      </w:r>
      <w:r>
        <w:rPr>
          <w:rFonts w:ascii="David" w:hAnsi="David" w:cs="David"/>
          <w:sz w:val="24"/>
          <w:szCs w:val="24"/>
          <w:rtl/>
        </w:rPr>
        <w:t xml:space="preserve"> </w:t>
      </w:r>
      <w:r>
        <w:rPr>
          <w:rFonts w:ascii="David" w:hAnsi="David" w:cs="David"/>
          <w:color w:val="000000"/>
          <w:sz w:val="18"/>
          <w:szCs w:val="18"/>
          <w:rtl/>
        </w:rPr>
        <w:t>. ע"ע כלי ציון 2456 ואילך. עי' ראשונים ואחרונים דלהלן, ועי' ציון 130, מחזו"א בד' ראשונים, שהמילוי כשר.</w:t>
      </w:r>
    </w:p>
  </w:footnote>
  <w:footnote w:id="242">
    <w:p w14:paraId="193D58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242</w:t>
      </w:r>
      <w:r>
        <w:rPr>
          <w:rFonts w:ascii="David" w:hAnsi="David" w:cs="David"/>
          <w:sz w:val="24"/>
          <w:szCs w:val="24"/>
          <w:rtl/>
        </w:rPr>
        <w:t xml:space="preserve"> </w:t>
      </w:r>
      <w:r>
        <w:rPr>
          <w:rFonts w:ascii="David" w:hAnsi="David" w:cs="David"/>
          <w:color w:val="000000"/>
          <w:sz w:val="18"/>
          <w:szCs w:val="18"/>
          <w:rtl/>
        </w:rPr>
        <w:t>. עי' רש"י יומא נח א ד"ה זולף והולך ומאירי שם בשמו ורע"ב פרה פ"ו מ"ג, בביאור משנה שם, ועי' ציון 718, ועי' ערה"ש פרה סי' סח סוף סי"ד, שפי' כן אף בד' ראשונים שבציון 740, שפי' משנה שם בע"א, וכ"ה לחזו"א הנ"ל שלד' ראשונים אלו מילוי כשהיה ספוג כשר, ומ' שאם היה פסול, היו נפסלים המים, וכ"ה לדברי מלכיאל שבציון 133, ועי' ציון הבא שי"מ דעתם בע"א.</w:t>
      </w:r>
    </w:p>
  </w:footnote>
  <w:footnote w:id="243">
    <w:p w14:paraId="6183265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243</w:t>
      </w:r>
      <w:r>
        <w:rPr>
          <w:rFonts w:ascii="David" w:hAnsi="David" w:cs="David"/>
          <w:sz w:val="24"/>
          <w:szCs w:val="24"/>
          <w:rtl/>
        </w:rPr>
        <w:t xml:space="preserve"> </w:t>
      </w:r>
      <w:r>
        <w:rPr>
          <w:rFonts w:ascii="David" w:hAnsi="David" w:cs="David"/>
          <w:color w:val="000000"/>
          <w:sz w:val="18"/>
          <w:szCs w:val="18"/>
          <w:rtl/>
        </w:rPr>
        <w:t>. עי' ציון 240. תפא"י בועז פרה פ"ו אות ג, בד' ראשונים הנ"ל, וע"ש אות ה, ועי' לעיל שי"מ דעתם בע"א.</w:t>
      </w:r>
    </w:p>
  </w:footnote>
  <w:footnote w:id="244">
    <w:p w14:paraId="7F6237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244</w:t>
      </w:r>
      <w:r>
        <w:rPr>
          <w:rFonts w:ascii="David" w:hAnsi="David" w:cs="David"/>
          <w:sz w:val="24"/>
          <w:szCs w:val="24"/>
          <w:rtl/>
        </w:rPr>
        <w:t xml:space="preserve"> </w:t>
      </w:r>
      <w:r>
        <w:rPr>
          <w:rFonts w:ascii="David" w:hAnsi="David" w:cs="David"/>
          <w:color w:val="000000"/>
          <w:sz w:val="18"/>
          <w:szCs w:val="18"/>
          <w:rtl/>
        </w:rPr>
        <w:t>. ראשונים שבציון 246, בביאור גמ' דלהלן שלמדו כן מהכתוב, ועי' ציון 1051 ואילך, שי"מ הגמ' בע"א, ולכאו' אף לדעתם א"צ שיהיה הקידוש באותו כלי, וסוברים כן מסברא, וכ"נ בראשונים שבציון 255; עי' שמ"ק חולין ט ב ומק"ד טהרות סי' נא אות ב, ע"פ משנה שבציון 263, אבל אפשר שהוא דוקא כשמילא ע"ד כן, עי' ציון הנ"ל, ועי' מק"ד שם, ראיות נוספות. ועי' ציון 251 שי"ח.</w:t>
      </w:r>
    </w:p>
  </w:footnote>
  <w:footnote w:id="245">
    <w:p w14:paraId="75EB072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245</w:t>
      </w:r>
      <w:r>
        <w:rPr>
          <w:rFonts w:ascii="David" w:hAnsi="David" w:cs="David"/>
          <w:sz w:val="24"/>
          <w:szCs w:val="24"/>
          <w:rtl/>
        </w:rPr>
        <w:t xml:space="preserve"> </w:t>
      </w:r>
      <w:r>
        <w:rPr>
          <w:rFonts w:ascii="David" w:hAnsi="David" w:cs="David"/>
          <w:color w:val="000000"/>
          <w:sz w:val="18"/>
          <w:szCs w:val="18"/>
          <w:rtl/>
        </w:rPr>
        <w:t>. במדבר יט יז.</w:t>
      </w:r>
    </w:p>
  </w:footnote>
  <w:footnote w:id="246">
    <w:p w14:paraId="547DFB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246</w:t>
      </w:r>
      <w:r>
        <w:rPr>
          <w:rFonts w:ascii="David" w:hAnsi="David" w:cs="David"/>
          <w:sz w:val="24"/>
          <w:szCs w:val="24"/>
          <w:rtl/>
        </w:rPr>
        <w:t xml:space="preserve"> </w:t>
      </w:r>
      <w:r>
        <w:rPr>
          <w:rFonts w:ascii="David" w:hAnsi="David" w:cs="David"/>
          <w:color w:val="000000"/>
          <w:sz w:val="18"/>
          <w:szCs w:val="18"/>
          <w:rtl/>
        </w:rPr>
        <w:t>. עי' פסחים לד ב: ונתן, אלמא תלושין נינהו, ורש"י ד"ה שתהא ושם לה א ד"ה אלא, ומאירי שם לד ב.</w:t>
      </w:r>
    </w:p>
  </w:footnote>
  <w:footnote w:id="247">
    <w:p w14:paraId="003837B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247</w:t>
      </w:r>
      <w:r>
        <w:rPr>
          <w:rFonts w:ascii="David" w:hAnsi="David" w:cs="David"/>
          <w:sz w:val="24"/>
          <w:szCs w:val="24"/>
          <w:rtl/>
        </w:rPr>
        <w:t xml:space="preserve"> </w:t>
      </w:r>
      <w:r>
        <w:rPr>
          <w:rFonts w:ascii="David" w:hAnsi="David" w:cs="David"/>
          <w:color w:val="000000"/>
          <w:sz w:val="18"/>
          <w:szCs w:val="18"/>
          <w:rtl/>
        </w:rPr>
        <w:t>. עי' לעיל.</w:t>
      </w:r>
    </w:p>
  </w:footnote>
  <w:footnote w:id="248">
    <w:p w14:paraId="07BEC4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248</w:t>
      </w:r>
      <w:r>
        <w:rPr>
          <w:rFonts w:ascii="David" w:hAnsi="David" w:cs="David"/>
          <w:sz w:val="24"/>
          <w:szCs w:val="24"/>
          <w:rtl/>
        </w:rPr>
        <w:t xml:space="preserve"> </w:t>
      </w:r>
      <w:r>
        <w:rPr>
          <w:rFonts w:ascii="David" w:hAnsi="David" w:cs="David"/>
          <w:color w:val="000000"/>
          <w:sz w:val="18"/>
          <w:szCs w:val="18"/>
          <w:rtl/>
        </w:rPr>
        <w:t>. שמ"ק ומק"ד שם.</w:t>
      </w:r>
    </w:p>
  </w:footnote>
  <w:footnote w:id="249">
    <w:p w14:paraId="3C7A768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249</w:t>
      </w:r>
      <w:r>
        <w:rPr>
          <w:rFonts w:ascii="David" w:hAnsi="David" w:cs="David"/>
          <w:sz w:val="24"/>
          <w:szCs w:val="24"/>
          <w:rtl/>
        </w:rPr>
        <w:t xml:space="preserve"> </w:t>
      </w:r>
      <w:r>
        <w:rPr>
          <w:rFonts w:ascii="David" w:hAnsi="David" w:cs="David"/>
          <w:color w:val="000000"/>
          <w:sz w:val="18"/>
          <w:szCs w:val="18"/>
          <w:rtl/>
        </w:rPr>
        <w:t>. עי' פסחים שם, לראשונים אלו, שבזה מתקיים דין ונתן; עי' ראשונים שבציונים 266, 371, לענין מילוי שלא לשמה; עי' אחרונים שבציונים 141, 263, 310, שיש מדיני המילוי שנאמרו דוקא בכלי שמקדש בו. ועי' ציון 65, שיש שכ' שכל שלא העבירו לכלי שדעתו לקדש בו, לא נשלם המילוי לענין פסול מלאכה. ועי' ציון 267 ואילך, כשהעבירם באמצע לכלי אחר, באופן הפסול לנתינה. ועי' ציון 286.</w:t>
      </w:r>
    </w:p>
  </w:footnote>
  <w:footnote w:id="250">
    <w:p w14:paraId="41220D9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250</w:t>
      </w:r>
      <w:r>
        <w:rPr>
          <w:rFonts w:ascii="David" w:hAnsi="David" w:cs="David"/>
          <w:sz w:val="24"/>
          <w:szCs w:val="24"/>
          <w:rtl/>
        </w:rPr>
        <w:t xml:space="preserve"> </w:t>
      </w:r>
      <w:r>
        <w:rPr>
          <w:rFonts w:ascii="David" w:hAnsi="David" w:cs="David"/>
          <w:color w:val="000000"/>
          <w:sz w:val="18"/>
          <w:szCs w:val="18"/>
          <w:rtl/>
        </w:rPr>
        <w:t>. עי' רש"י לה א שם (ורמב"ן ושא"ר שבציון 255 בדעתו, ועי' שמ"ק שבציון 267, שנ' שפי' דוקא כשהעביר לכלי אחר שלא לשם מי חטאת), ומאירי שם לד ב, וכעי"ז בבעה"ט במדבר שם, בפי' גמ' שם: והא מחוברין נינהו, ועי' רש"י שם ד"ה אף, שלמדו משם שעשו מעלה בדברים המתקדשים בקדושת פה, ועי' להלן, ועי' רש"י תמורה יב ב ד"ה ואימא, ועי' ציון 271; עי' אחרונים שבציון 259, בד' רש"י (ותוס' שאנץ) שבציון הנ"ל, ועי' ציון הבא. ועי' רש"ש פרה פ"ו מ"ה בד' רע"ב שם, ועי' להלן. ועי' מהרש"א סוטה טז ב, שפי' גמ' שם שדנה שדין זה הוא מה"ת למצוה, ושאין המסקנא כן, ועי' משמרות כהונה פסחים שם, ועי' רע"א סוטה שם ומיני תרגומא במדבר שם, שנקטו שאף מסקנת הגמ' שם שהוא מה"ת, ותמהו, אבל לכאו' הדין מה"ת הוא הדין שבציון 225.</w:t>
      </w:r>
    </w:p>
  </w:footnote>
  <w:footnote w:id="251">
    <w:p w14:paraId="52716F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251</w:t>
      </w:r>
      <w:r>
        <w:rPr>
          <w:rFonts w:ascii="David" w:hAnsi="David" w:cs="David"/>
          <w:sz w:val="24"/>
          <w:szCs w:val="24"/>
          <w:rtl/>
        </w:rPr>
        <w:t xml:space="preserve"> </w:t>
      </w:r>
      <w:r>
        <w:rPr>
          <w:rFonts w:ascii="David" w:hAnsi="David" w:cs="David"/>
          <w:color w:val="000000"/>
          <w:sz w:val="18"/>
          <w:szCs w:val="18"/>
          <w:rtl/>
        </w:rPr>
        <w:t>. רש"י פסחים שם ד"ה שתהא, ומאירי שם, וכעי"ז בבעה"ט שם, בפי' גמ' שם. ועי' ערה"ש פרה סי' סג אות י בד' רש"י שבציון 259, שמ' שהפסול מה"ת, ולא כד' רש"י דלעיל, וע"ש בד' ראשונים נוספים.</w:t>
      </w:r>
    </w:p>
  </w:footnote>
  <w:footnote w:id="252">
    <w:p w14:paraId="64D2E41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252</w:t>
      </w:r>
      <w:r>
        <w:rPr>
          <w:rFonts w:ascii="David" w:hAnsi="David" w:cs="David"/>
          <w:sz w:val="24"/>
          <w:szCs w:val="24"/>
          <w:rtl/>
        </w:rPr>
        <w:t xml:space="preserve"> </w:t>
      </w:r>
      <w:r>
        <w:rPr>
          <w:rFonts w:ascii="David" w:hAnsi="David" w:cs="David"/>
          <w:color w:val="000000"/>
          <w:sz w:val="18"/>
          <w:szCs w:val="18"/>
          <w:rtl/>
        </w:rPr>
        <w:t>. ציון 225 ואילך. ושם שד' מהרש"א, שכל דין חיותו בכלי הוא מדרבנן, ועי' לעיל.</w:t>
      </w:r>
    </w:p>
  </w:footnote>
  <w:footnote w:id="253">
    <w:p w14:paraId="098570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253</w:t>
      </w:r>
      <w:r>
        <w:rPr>
          <w:rFonts w:ascii="David" w:hAnsi="David" w:cs="David"/>
          <w:sz w:val="24"/>
          <w:szCs w:val="24"/>
          <w:rtl/>
        </w:rPr>
        <w:t xml:space="preserve"> </w:t>
      </w:r>
      <w:r>
        <w:rPr>
          <w:rFonts w:ascii="David" w:hAnsi="David" w:cs="David"/>
          <w:color w:val="000000"/>
          <w:sz w:val="18"/>
          <w:szCs w:val="18"/>
          <w:rtl/>
        </w:rPr>
        <w:t>. מים טהורים פרה פ"ד מ"ד; תפא"י בועז שם פ"ז אות א, ע"פ פרה שם מ"א, שאמרו בכמה אופנים שמילא בכלי אחד וקידש בכלי אחר שכשר, ועי' ציון הבא; משאת המלך סי' שפז, ע"פ רש"י זבחים כה ב ד"ה מים, ועי' להלן וציון 235.</w:t>
      </w:r>
    </w:p>
  </w:footnote>
  <w:footnote w:id="254">
    <w:p w14:paraId="5F4024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254</w:t>
      </w:r>
      <w:r>
        <w:rPr>
          <w:rFonts w:ascii="David" w:hAnsi="David" w:cs="David"/>
          <w:sz w:val="24"/>
          <w:szCs w:val="24"/>
          <w:rtl/>
        </w:rPr>
        <w:t xml:space="preserve"> </w:t>
      </w:r>
      <w:r>
        <w:rPr>
          <w:rFonts w:ascii="David" w:hAnsi="David" w:cs="David"/>
          <w:color w:val="000000"/>
          <w:sz w:val="18"/>
          <w:szCs w:val="18"/>
          <w:rtl/>
        </w:rPr>
        <w:t>. עי' אחרונים שבציון 259 בד' רש"י; עי' רש"ש בד' הרע"ב שם; מק"ד שם; ערה"ש שם, וסי' סח סי"ד. ועי' ציונים 263, 264, שיש מתרצים המשנה שבציון הקודם באופ"א, וציון 255, שיש שהוכיחו משם שלא עשו מעלה זו, ומ' שסברו שהמעלה מעכבת, אבל אפשר שלא נח לפרש משנה שם בדיעבד.</w:t>
      </w:r>
    </w:p>
  </w:footnote>
  <w:footnote w:id="255">
    <w:p w14:paraId="3AD5FC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255</w:t>
      </w:r>
      <w:r>
        <w:rPr>
          <w:rFonts w:ascii="David" w:hAnsi="David" w:cs="David"/>
          <w:sz w:val="24"/>
          <w:szCs w:val="24"/>
          <w:rtl/>
        </w:rPr>
        <w:t xml:space="preserve"> </w:t>
      </w:r>
      <w:r>
        <w:rPr>
          <w:rFonts w:ascii="David" w:hAnsi="David" w:cs="David"/>
          <w:color w:val="000000"/>
          <w:sz w:val="18"/>
          <w:szCs w:val="18"/>
          <w:rtl/>
        </w:rPr>
        <w:t>. רמב"ם פרה פ"י ה"א, וכן מ' שם פ"ז ה"א, ושם פ"ט ה"א: נותן את המים וכו' בכלי, ועי' ציון 439; רמב"ן חולין שם; ר"ש פרה פ"ט מ"ג, וע"ש בד' רש"י זבחים שם, ועי' רש"ש שם, ועי' לעיל; תור"פ פסחים שם; רא"ש פרה פ"ז מ"א; ריטב"א גיטין פו ב; רלב"ג במדבר שם; עי' רע"ב פרה שם, ושם מ"ח, ורש"ש שם פ"ו מ"ה בדעתו (אבל אפשר שבאופנים שם מועיל לד"ה מהטעמים שבציון 263 ואילך), ועי' לעיל; תפא"י יכין שם פ"ה מ"ז, ועי' ציון 253. ועי' רמב"ן ור"ש ותור"פ וריטב"א שם, שכ"מ במשנה שבציון הנ"ל, המביאה כמה אופנים שכשר כשמילא בכלי אחד וקידש בכלי אחר, ועי' לעיל, ועי' ר"ש שם ראיות נוספות, וע"ע הסח הדעת ציונים 216 ואילך, 224 ואילך, 248 ואילך. וכ"מ בתוספתא דלהלן ציון 279 לגי' הגר"א שבציון הנ"ל, בספוג שנתמלא בכלי וחזר ונסחט לכלי (שלדעה דלעיל פסול, עי' ציון 261), שהמים כשרים, ומ' אפי' מדרבנן. ועי' ציון 26, שאף אם עירב ב' מימות מב' מעיינות כשר. ועי' שמ"ק זבחים עט א. בביאור גמ' שבציון 250 ואילך, לד' זו, עי' ציון 1051 ואילך, ועי' ראשונים שבציון הנ"ל שלדעתם לא אמרו שמדרבנן אסור להעביר מכלי לכלי, אבל אפשר שהם סוברים שמה"ת אסור, עי' לעיל.</w:t>
      </w:r>
    </w:p>
  </w:footnote>
  <w:footnote w:id="256">
    <w:p w14:paraId="3E4C66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256</w:t>
      </w:r>
      <w:r>
        <w:rPr>
          <w:rFonts w:ascii="David" w:hAnsi="David" w:cs="David"/>
          <w:sz w:val="24"/>
          <w:szCs w:val="24"/>
          <w:rtl/>
        </w:rPr>
        <w:t xml:space="preserve"> </w:t>
      </w:r>
      <w:r>
        <w:rPr>
          <w:rFonts w:ascii="David" w:hAnsi="David" w:cs="David"/>
          <w:color w:val="000000"/>
          <w:sz w:val="18"/>
          <w:szCs w:val="18"/>
          <w:rtl/>
        </w:rPr>
        <w:t>. ציונים 141, 152, 187, 310. ועי' ציון 371.</w:t>
      </w:r>
    </w:p>
  </w:footnote>
  <w:footnote w:id="257">
    <w:p w14:paraId="13FF3F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257</w:t>
      </w:r>
      <w:r>
        <w:rPr>
          <w:rFonts w:ascii="David" w:hAnsi="David" w:cs="David"/>
          <w:sz w:val="24"/>
          <w:szCs w:val="24"/>
          <w:rtl/>
        </w:rPr>
        <w:t xml:space="preserve"> </w:t>
      </w:r>
      <w:r>
        <w:rPr>
          <w:rFonts w:ascii="David" w:hAnsi="David" w:cs="David"/>
          <w:color w:val="000000"/>
          <w:sz w:val="18"/>
          <w:szCs w:val="18"/>
          <w:rtl/>
        </w:rPr>
        <w:t>. עי' לעיל, ושם אם פוסל בדיעבד. עי' להלן.</w:t>
      </w:r>
    </w:p>
  </w:footnote>
  <w:footnote w:id="258">
    <w:p w14:paraId="42402C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258</w:t>
      </w:r>
      <w:r>
        <w:rPr>
          <w:rFonts w:ascii="David" w:hAnsi="David" w:cs="David"/>
          <w:sz w:val="24"/>
          <w:szCs w:val="24"/>
          <w:rtl/>
        </w:rPr>
        <w:t xml:space="preserve"> </w:t>
      </w:r>
      <w:r>
        <w:rPr>
          <w:rFonts w:ascii="David" w:hAnsi="David" w:cs="David"/>
          <w:color w:val="000000"/>
          <w:sz w:val="18"/>
          <w:szCs w:val="18"/>
          <w:rtl/>
        </w:rPr>
        <w:t>. משאת המלך סי' שפז, ע"פ רש"י שבציון הבא, וע"ש שכ"ה אף לסוברים שאם לא נפסל במעביר מכלי לכלי, לא נפסל אף במעביר לכלי פסול ומחזיר לכלי כשר, עי' ציון 275 ואילך. ועי' מק"ד טהרות סי' נא אות ב.</w:t>
      </w:r>
    </w:p>
  </w:footnote>
  <w:footnote w:id="259">
    <w:p w14:paraId="3303F3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259</w:t>
      </w:r>
      <w:r>
        <w:rPr>
          <w:rFonts w:ascii="David" w:hAnsi="David" w:cs="David"/>
          <w:sz w:val="24"/>
          <w:szCs w:val="24"/>
          <w:rtl/>
        </w:rPr>
        <w:t xml:space="preserve"> </w:t>
      </w:r>
      <w:r>
        <w:rPr>
          <w:rFonts w:ascii="David" w:hAnsi="David" w:cs="David"/>
          <w:color w:val="000000"/>
          <w:sz w:val="18"/>
          <w:szCs w:val="18"/>
          <w:rtl/>
        </w:rPr>
        <w:t>. עי' מנ"ח מ' שצט ומשאת המלך שם, בד' רש"י חולין ט ב ד"ה אם (הא') לפי' הב' (והסכים לזה בתוס' שאנץ בשמ"ק שם, ועי' רבנו גרשום שם), שפי' ששתיית חולדה ונחש (ועי' ציון 856 ואילך) פוסלים מפני שאין חיותם בכלי (ועי' תוס' שם ופסחים יח א ד"ה בטלו וגיטין פו ב ד"ה כל, ועי' מנ"ח מ' שצט), וכ"מ בר"ש פרה פ"ט מ"ג בד' רש"י, ועי' ציון 271 ואילך, שי"ס שהפסול מה"ת הוא משום שהיה במקום שאינו ראוי לקדש, ועי' ציון 277, ועי' ערה"ש שבציון 251. ועי' רש"י שם בפי' הא', באופ"א, ועי' ציון 77. ועי' ציון 254. ועי' ציון 850 ואילך, על הבע"ח הפוסלים בשתייתם, ושי"מ הפסול מטעמים אחרים.</w:t>
      </w:r>
    </w:p>
  </w:footnote>
  <w:footnote w:id="260">
    <w:p w14:paraId="398EB6E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260</w:t>
      </w:r>
      <w:r>
        <w:rPr>
          <w:rFonts w:ascii="David" w:hAnsi="David" w:cs="David"/>
          <w:sz w:val="24"/>
          <w:szCs w:val="24"/>
          <w:rtl/>
        </w:rPr>
        <w:t xml:space="preserve"> </w:t>
      </w:r>
      <w:r>
        <w:rPr>
          <w:rFonts w:ascii="David" w:hAnsi="David" w:cs="David"/>
          <w:color w:val="000000"/>
          <w:sz w:val="18"/>
          <w:szCs w:val="18"/>
          <w:rtl/>
        </w:rPr>
        <w:t>. ע"ע כלי ציון 2456 ואילך.</w:t>
      </w:r>
    </w:p>
  </w:footnote>
  <w:footnote w:id="261">
    <w:p w14:paraId="330C46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261</w:t>
      </w:r>
      <w:r>
        <w:rPr>
          <w:rFonts w:ascii="David" w:hAnsi="David" w:cs="David"/>
          <w:sz w:val="24"/>
          <w:szCs w:val="24"/>
          <w:rtl/>
        </w:rPr>
        <w:t xml:space="preserve"> </w:t>
      </w:r>
      <w:r>
        <w:rPr>
          <w:rFonts w:ascii="David" w:hAnsi="David" w:cs="David"/>
          <w:color w:val="000000"/>
          <w:sz w:val="18"/>
          <w:szCs w:val="18"/>
          <w:rtl/>
        </w:rPr>
        <w:t>. עי' ערה"ש פרה סי' סח סי"ד. ועי' ציון 279, שי"ג בתוספתא שכשר, ועי' ציון 255. ועי' ציון 242, כשבאו המים לספוג מתחילה.</w:t>
      </w:r>
    </w:p>
  </w:footnote>
  <w:footnote w:id="262">
    <w:p w14:paraId="790293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262</w:t>
      </w:r>
      <w:r>
        <w:rPr>
          <w:rFonts w:ascii="David" w:hAnsi="David" w:cs="David"/>
          <w:sz w:val="24"/>
          <w:szCs w:val="24"/>
          <w:rtl/>
        </w:rPr>
        <w:t xml:space="preserve"> </w:t>
      </w:r>
      <w:r>
        <w:rPr>
          <w:rFonts w:ascii="David" w:hAnsi="David" w:cs="David"/>
          <w:color w:val="000000"/>
          <w:sz w:val="18"/>
          <w:szCs w:val="18"/>
          <w:rtl/>
        </w:rPr>
        <w:t>. ציון 267 ואילך.</w:t>
      </w:r>
    </w:p>
  </w:footnote>
  <w:footnote w:id="263">
    <w:p w14:paraId="72E85D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263</w:t>
      </w:r>
      <w:r>
        <w:rPr>
          <w:rFonts w:ascii="David" w:hAnsi="David" w:cs="David"/>
          <w:sz w:val="24"/>
          <w:szCs w:val="24"/>
          <w:rtl/>
        </w:rPr>
        <w:t xml:space="preserve"> </w:t>
      </w:r>
      <w:r>
        <w:rPr>
          <w:rFonts w:ascii="David" w:hAnsi="David" w:cs="David"/>
          <w:color w:val="000000"/>
          <w:sz w:val="18"/>
          <w:szCs w:val="18"/>
          <w:rtl/>
        </w:rPr>
        <w:t>. מק"ד טהרות סי' נא אות ב, ע"פ פרה פ"ז מ"א, שהכשירה כמה אופנים כשמילא בכלי אחד ונמלך לקדש בכלי אחר, שי"ל שבאופנים אלו מילא ע"מ לערות לכלי אחר. ועי' תפא"י שם שצידד כן, וכ' שברישא שם, שכשמילא ה' חביות ע"מ לקדש כל חבית לבד כשרים כשערבם אח"כ, לא מילא ע"מ לערות לשני, (אבל י"ל שמילא ע"מ לערות כל חבית לחבית אחרת), ועי' ציון 253, שתי' באופ"א. ועי' מק"ד שם, שהביא ראיה מדין עשיית מלאכה לשיטתו בציון 62. ועי' משאת המלך סי' שפז, שי"ל להיפך, לשיטתו בציון 141.</w:t>
      </w:r>
    </w:p>
  </w:footnote>
  <w:footnote w:id="264">
    <w:p w14:paraId="5768B7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264</w:t>
      </w:r>
      <w:r>
        <w:rPr>
          <w:rFonts w:ascii="David" w:hAnsi="David" w:cs="David"/>
          <w:sz w:val="24"/>
          <w:szCs w:val="24"/>
          <w:rtl/>
        </w:rPr>
        <w:t xml:space="preserve"> </w:t>
      </w:r>
      <w:r>
        <w:rPr>
          <w:rFonts w:ascii="David" w:hAnsi="David" w:cs="David"/>
          <w:color w:val="000000"/>
          <w:sz w:val="18"/>
          <w:szCs w:val="18"/>
          <w:rtl/>
        </w:rPr>
        <w:t>. ערה"ש פרה סי' סג סט"ו, ע"פ משנה שם. ועי' לעיל וערה"ש שם סי"ב ויג ויד, שפי' המשנה באופ"א.</w:t>
      </w:r>
    </w:p>
  </w:footnote>
  <w:footnote w:id="265">
    <w:p w14:paraId="67509D9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265</w:t>
      </w:r>
      <w:r>
        <w:rPr>
          <w:rFonts w:ascii="David" w:hAnsi="David" w:cs="David"/>
          <w:sz w:val="24"/>
          <w:szCs w:val="24"/>
          <w:rtl/>
        </w:rPr>
        <w:t xml:space="preserve"> </w:t>
      </w:r>
      <w:r>
        <w:rPr>
          <w:rFonts w:ascii="David" w:hAnsi="David" w:cs="David"/>
          <w:color w:val="000000"/>
          <w:sz w:val="18"/>
          <w:szCs w:val="18"/>
          <w:rtl/>
        </w:rPr>
        <w:t>. ערה"ש שם סי' סח סי"ב, ע"פ פרה פ"ו מ"ג: המקדש בשוקת והטפי בתוכה, ע"ע השקה ציון 383. ועי' ר"ש ומשאת המלך דלעיל ציונים 253, 255, בד' רש"י בזבחים, שלא נ' כן.</w:t>
      </w:r>
    </w:p>
  </w:footnote>
  <w:footnote w:id="266">
    <w:p w14:paraId="1ABAAC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266</w:t>
      </w:r>
      <w:r>
        <w:rPr>
          <w:rFonts w:ascii="David" w:hAnsi="David" w:cs="David"/>
          <w:sz w:val="24"/>
          <w:szCs w:val="24"/>
          <w:rtl/>
        </w:rPr>
        <w:t xml:space="preserve"> </w:t>
      </w:r>
      <w:r>
        <w:rPr>
          <w:rFonts w:ascii="David" w:hAnsi="David" w:cs="David"/>
          <w:color w:val="000000"/>
          <w:sz w:val="18"/>
          <w:szCs w:val="18"/>
          <w:rtl/>
        </w:rPr>
        <w:t>. שמ"ק דלהלן, ועי' ציונים 249, 371.</w:t>
      </w:r>
    </w:p>
  </w:footnote>
  <w:footnote w:id="267">
    <w:p w14:paraId="0673EF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267</w:t>
      </w:r>
      <w:r>
        <w:rPr>
          <w:rFonts w:ascii="David" w:hAnsi="David" w:cs="David"/>
          <w:sz w:val="24"/>
          <w:szCs w:val="24"/>
          <w:rtl/>
        </w:rPr>
        <w:t xml:space="preserve"> </w:t>
      </w:r>
      <w:r>
        <w:rPr>
          <w:rFonts w:ascii="David" w:hAnsi="David" w:cs="David"/>
          <w:color w:val="000000"/>
          <w:sz w:val="18"/>
          <w:szCs w:val="18"/>
          <w:rtl/>
        </w:rPr>
        <w:t>. עי' רמב"ן חולין ט ב; עי' ריטב"א גיטין פו ב, ע"פ פי' רש"י שם, ועי' להלן; עי' שמ"ק חולין שם, בד' רש"י שבציונים 250, 271, ולדעתו הוא פסול מחמת מעלה דרבנן, עי' ציון 250, ועי' מק"ד טהרות סי' נא אות ב. ועי' ציון 793. ומ' שמשום דיחוי אינו נפסל, ועי' חזו"א פרה סי' טו אות יא, ועי' ציון 89.</w:t>
      </w:r>
    </w:p>
  </w:footnote>
  <w:footnote w:id="268">
    <w:p w14:paraId="28A8F8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268</w:t>
      </w:r>
      <w:r>
        <w:rPr>
          <w:rFonts w:ascii="David" w:hAnsi="David" w:cs="David"/>
          <w:sz w:val="24"/>
          <w:szCs w:val="24"/>
          <w:rtl/>
        </w:rPr>
        <w:t xml:space="preserve"> </w:t>
      </w:r>
      <w:r>
        <w:rPr>
          <w:rFonts w:ascii="David" w:hAnsi="David" w:cs="David"/>
          <w:color w:val="000000"/>
          <w:sz w:val="18"/>
          <w:szCs w:val="18"/>
          <w:rtl/>
        </w:rPr>
        <w:t>. פרה פ"ט מ"ג, ועי' ציון 860 ואילך, ושם שי"מ בע"א. ועי' פרה שם, שי"ח, ולכאו' לדעתם אינו מקיא.</w:t>
      </w:r>
    </w:p>
  </w:footnote>
  <w:footnote w:id="269">
    <w:p w14:paraId="7548FC2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269</w:t>
      </w:r>
      <w:r>
        <w:rPr>
          <w:rFonts w:ascii="David" w:hAnsi="David" w:cs="David"/>
          <w:sz w:val="24"/>
          <w:szCs w:val="24"/>
          <w:rtl/>
        </w:rPr>
        <w:t xml:space="preserve"> </w:t>
      </w:r>
      <w:r>
        <w:rPr>
          <w:rFonts w:ascii="David" w:hAnsi="David" w:cs="David"/>
          <w:color w:val="000000"/>
          <w:sz w:val="18"/>
          <w:szCs w:val="18"/>
          <w:rtl/>
        </w:rPr>
        <w:t>. רמב"ן שם. וע"ש שמ' שלדעתו דוקא נחש שותה ומקיא, ושאר שרצים הפוסלים שבמשנה שם אינם מקיאים מה ששתו, אלא פסולם משום שהם מוציאים רוק שבפיהם, עי' ציון 857 ואילך, ועי' ציון 862, שי"ס שאף נחש פסולו משום שהוא מוציא רוק. ועי' ראשונים ואחרונים דלהלן.</w:t>
      </w:r>
    </w:p>
  </w:footnote>
  <w:footnote w:id="270">
    <w:p w14:paraId="0BFF42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270</w:t>
      </w:r>
      <w:r>
        <w:rPr>
          <w:rFonts w:ascii="David" w:hAnsi="David" w:cs="David"/>
          <w:sz w:val="24"/>
          <w:szCs w:val="24"/>
          <w:rtl/>
        </w:rPr>
        <w:t xml:space="preserve"> </w:t>
      </w:r>
      <w:r>
        <w:rPr>
          <w:rFonts w:ascii="David" w:hAnsi="David" w:cs="David"/>
          <w:color w:val="000000"/>
          <w:sz w:val="18"/>
          <w:szCs w:val="18"/>
          <w:rtl/>
        </w:rPr>
        <w:t>. עי' ציון 850 ואילך.</w:t>
      </w:r>
    </w:p>
  </w:footnote>
  <w:footnote w:id="271">
    <w:p w14:paraId="5AA2832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271</w:t>
      </w:r>
      <w:r>
        <w:rPr>
          <w:rFonts w:ascii="David" w:hAnsi="David" w:cs="David"/>
          <w:sz w:val="24"/>
          <w:szCs w:val="24"/>
          <w:rtl/>
        </w:rPr>
        <w:t xml:space="preserve"> </w:t>
      </w:r>
      <w:r>
        <w:rPr>
          <w:rFonts w:ascii="David" w:hAnsi="David" w:cs="David"/>
          <w:color w:val="000000"/>
          <w:sz w:val="18"/>
          <w:szCs w:val="18"/>
          <w:rtl/>
        </w:rPr>
        <w:t>. ריטב"א גיטין שם, בעופות שפוסלים בשתייתם, ע"פ פי' רש"י שם ד"ה מפני, ועי' תוס' שם ד"ה כל (ועי' ציון 84), ועי' ציון 250; ר"ש סירילאו תרומות פ"ח ה"ג, הובא במלאכת שלמה וחזו"נ פרה שם. ועי' שמ"ק חולין שם, בד' רש"י שם ד"ה אם (הא') לפי' הב', שחולדה ששתתה מי חטאת, פסולם משום מעביר מכלי לכלי ואין חיותם בכלי, שהוא משום שהחולדה שתתה שלא לשם מי חטאת, וצ"ב, ועי' רבינו גרשום שם וסב ב, ומק"ד שם, ועי' ציון 259.</w:t>
      </w:r>
    </w:p>
  </w:footnote>
  <w:footnote w:id="272">
    <w:p w14:paraId="278DD83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272</w:t>
      </w:r>
      <w:r>
        <w:rPr>
          <w:rFonts w:ascii="David" w:hAnsi="David" w:cs="David"/>
          <w:sz w:val="24"/>
          <w:szCs w:val="24"/>
          <w:rtl/>
        </w:rPr>
        <w:t xml:space="preserve"> </w:t>
      </w:r>
      <w:r>
        <w:rPr>
          <w:rFonts w:ascii="David" w:hAnsi="David" w:cs="David"/>
          <w:color w:val="000000"/>
          <w:sz w:val="18"/>
          <w:szCs w:val="18"/>
          <w:rtl/>
        </w:rPr>
        <w:t>. ציון 259.</w:t>
      </w:r>
    </w:p>
  </w:footnote>
  <w:footnote w:id="273">
    <w:p w14:paraId="07AD86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273</w:t>
      </w:r>
      <w:r>
        <w:rPr>
          <w:rFonts w:ascii="David" w:hAnsi="David" w:cs="David"/>
          <w:sz w:val="24"/>
          <w:szCs w:val="24"/>
          <w:rtl/>
        </w:rPr>
        <w:t xml:space="preserve"> </w:t>
      </w:r>
      <w:r>
        <w:rPr>
          <w:rFonts w:ascii="David" w:hAnsi="David" w:cs="David"/>
          <w:color w:val="000000"/>
          <w:sz w:val="18"/>
          <w:szCs w:val="18"/>
          <w:rtl/>
        </w:rPr>
        <w:t>. ציונים 43, 77.</w:t>
      </w:r>
    </w:p>
  </w:footnote>
  <w:footnote w:id="274">
    <w:p w14:paraId="26FBD3F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274</w:t>
      </w:r>
      <w:r>
        <w:rPr>
          <w:rFonts w:ascii="David" w:hAnsi="David" w:cs="David"/>
          <w:sz w:val="24"/>
          <w:szCs w:val="24"/>
          <w:rtl/>
        </w:rPr>
        <w:t xml:space="preserve"> </w:t>
      </w:r>
      <w:r>
        <w:rPr>
          <w:rFonts w:ascii="David" w:hAnsi="David" w:cs="David"/>
          <w:color w:val="000000"/>
          <w:sz w:val="18"/>
          <w:szCs w:val="18"/>
          <w:rtl/>
        </w:rPr>
        <w:t>. ציון 857 ואילך.</w:t>
      </w:r>
    </w:p>
  </w:footnote>
  <w:footnote w:id="275">
    <w:p w14:paraId="2600B7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275</w:t>
      </w:r>
      <w:r>
        <w:rPr>
          <w:rFonts w:ascii="David" w:hAnsi="David" w:cs="David"/>
          <w:sz w:val="24"/>
          <w:szCs w:val="24"/>
          <w:rtl/>
        </w:rPr>
        <w:t xml:space="preserve"> </w:t>
      </w:r>
      <w:r>
        <w:rPr>
          <w:rFonts w:ascii="David" w:hAnsi="David" w:cs="David"/>
          <w:color w:val="000000"/>
          <w:sz w:val="18"/>
          <w:szCs w:val="18"/>
          <w:rtl/>
        </w:rPr>
        <w:t>. עי' אחרונים דלהלן; חזו"א פרה סי' יג ס"ק י.</w:t>
      </w:r>
    </w:p>
  </w:footnote>
  <w:footnote w:id="276">
    <w:p w14:paraId="048B94F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276</w:t>
      </w:r>
      <w:r>
        <w:rPr>
          <w:rFonts w:ascii="David" w:hAnsi="David" w:cs="David"/>
          <w:sz w:val="24"/>
          <w:szCs w:val="24"/>
          <w:rtl/>
        </w:rPr>
        <w:t xml:space="preserve"> </w:t>
      </w:r>
      <w:r>
        <w:rPr>
          <w:rFonts w:ascii="David" w:hAnsi="David" w:cs="David"/>
          <w:color w:val="000000"/>
          <w:sz w:val="18"/>
          <w:szCs w:val="18"/>
          <w:rtl/>
        </w:rPr>
        <w:t>. עי' ציון 255, ועי' ציון 244 שמה"ת לד"ה כשר, ועי' ציון 263, שכשממלא ע"ד לערות, י"ס שכשר לד"ה.</w:t>
      </w:r>
    </w:p>
  </w:footnote>
  <w:footnote w:id="277">
    <w:p w14:paraId="79DFAD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277</w:t>
      </w:r>
      <w:r>
        <w:rPr>
          <w:rFonts w:ascii="David" w:hAnsi="David" w:cs="David"/>
          <w:sz w:val="24"/>
          <w:szCs w:val="24"/>
          <w:rtl/>
        </w:rPr>
        <w:t xml:space="preserve"> </w:t>
      </w:r>
      <w:r>
        <w:rPr>
          <w:rFonts w:ascii="David" w:hAnsi="David" w:cs="David"/>
          <w:color w:val="000000"/>
          <w:sz w:val="18"/>
          <w:szCs w:val="18"/>
          <w:rtl/>
        </w:rPr>
        <w:t>. משאת המלך סי' שפז, בד' ר"ש שבציון 259, שהבין בד' רש"י חולין שבציון 271 שפסול צלוחית ששתתה ממנה חולדה הוא מטעם אחר, ועי' ציון 259.</w:t>
      </w:r>
    </w:p>
  </w:footnote>
  <w:footnote w:id="278">
    <w:p w14:paraId="151620F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278</w:t>
      </w:r>
      <w:r>
        <w:rPr>
          <w:rFonts w:ascii="David" w:hAnsi="David" w:cs="David"/>
          <w:sz w:val="24"/>
          <w:szCs w:val="24"/>
          <w:rtl/>
        </w:rPr>
        <w:t xml:space="preserve"> </w:t>
      </w:r>
      <w:r>
        <w:rPr>
          <w:rFonts w:ascii="David" w:hAnsi="David" w:cs="David"/>
          <w:color w:val="000000"/>
          <w:sz w:val="18"/>
          <w:szCs w:val="18"/>
          <w:rtl/>
        </w:rPr>
        <w:t>. עי' ציון 241.</w:t>
      </w:r>
    </w:p>
  </w:footnote>
  <w:footnote w:id="279">
    <w:p w14:paraId="0CFC2F4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279</w:t>
      </w:r>
      <w:r>
        <w:rPr>
          <w:rFonts w:ascii="David" w:hAnsi="David" w:cs="David"/>
          <w:sz w:val="24"/>
          <w:szCs w:val="24"/>
          <w:rtl/>
        </w:rPr>
        <w:t xml:space="preserve"> </w:t>
      </w:r>
      <w:r>
        <w:rPr>
          <w:rFonts w:ascii="David" w:hAnsi="David" w:cs="David"/>
          <w:color w:val="000000"/>
          <w:sz w:val="18"/>
          <w:szCs w:val="18"/>
          <w:rtl/>
        </w:rPr>
        <w:t>. עי' בהגר"א לתוספתא פרה סופ"ה, שגי' בתוספתא שם: ואם עד שלא הקדישן נוטלן וסוחטן וכשרין, ופי' שנפל אחר המילוי, ועי' ציון 892, שי"ג בע"א; עי' תפא"י בועז פרה פ"ו אות ג, ועי' ציון 243, שהתיר מטעם אחר אף כשנפלו המים מתחילה לספוג, וכ"ש כשנבלעו אחר המילוי; עי' חזו"א שבציון 130.</w:t>
      </w:r>
    </w:p>
  </w:footnote>
  <w:footnote w:id="280">
    <w:p w14:paraId="41AF68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280</w:t>
      </w:r>
      <w:r>
        <w:rPr>
          <w:rFonts w:ascii="David" w:hAnsi="David" w:cs="David"/>
          <w:sz w:val="24"/>
          <w:szCs w:val="24"/>
          <w:rtl/>
        </w:rPr>
        <w:t xml:space="preserve"> </w:t>
      </w:r>
      <w:r>
        <w:rPr>
          <w:rFonts w:ascii="David" w:hAnsi="David" w:cs="David"/>
          <w:color w:val="000000"/>
          <w:sz w:val="18"/>
          <w:szCs w:val="18"/>
          <w:rtl/>
        </w:rPr>
        <w:t>. בהגר"א וז"ז שם פ"ו, בביאור תוספ' שם לגירסתו, וכ"ה גי' ר"ש פרה פ"ו מ"ב, ועי' ציון 232.</w:t>
      </w:r>
    </w:p>
  </w:footnote>
  <w:footnote w:id="281">
    <w:p w14:paraId="015A132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281</w:t>
      </w:r>
      <w:r>
        <w:rPr>
          <w:rFonts w:ascii="David" w:hAnsi="David" w:cs="David"/>
          <w:sz w:val="24"/>
          <w:szCs w:val="24"/>
          <w:rtl/>
        </w:rPr>
        <w:t xml:space="preserve"> </w:t>
      </w:r>
      <w:r>
        <w:rPr>
          <w:rFonts w:ascii="David" w:hAnsi="David" w:cs="David"/>
          <w:color w:val="000000"/>
          <w:sz w:val="18"/>
          <w:szCs w:val="18"/>
          <w:rtl/>
        </w:rPr>
        <w:t>. עי' רמב"ם פרה פ"ז הי"א, לגי' כס"מ שם (ועי' ראב"ד שם שנ' שלא גרס כן, ועי' מרכה"מ שם), ע"פ תוספ' שם פ"ה, וחזו"א פרה סי' יא ס"ק ח בדעתו, שאפי' חשב לשם חטאת לאחר שנפסק החבל כשר מן הדין, ועי' ציון 373 ואילך, וע"ש סוס"ק יז, שתמה בטעם הרמב"ם, ועי' חס"ד שם וציון 126, שמפרש בע"א, ועי' להלן; תוס' ותוס' רא"ש סוכה כא א ד"ה ירדו, ע"פ תוספ' שבציון הבא; עי' ז"ז שבציון 293, בד' תוספ' שם, ובהגר"א לתוספ' פרה פ"ה, בביאור תוספ' שם הנ"ל, שהמשלשל כלי ונפסק החבל ונפל ונתמלא מעצמו כשר, (וע"ש לגי' הגר"א, שכשחישב עליו לשתיה כשהוא במים דינו כחשב אחר מילוי, עי' ציון 349, ואף על פי שאם לא היה נפסק לא היה מגיע עדיין למים, ועי' חזו"א שם ס"ק ז, שאין בזה חידוש), ומ' שא"צ מילוי מכח האדם (ועי' מנחת בכורים שם), ועי' ציון 284 ואילך, שבד' תוספ' פ"ג שם פי' בבהגר"א שצריך מילוי מכח האדם, וצ"ב, ועי' ציון 293, שלדעתו בז"ז שם, נחלקו תנאים בכך, ועי' ציונים 284, 349, שי"מ תוספ' פ"ה שם באופ"א. ועי' ראשונים הנ"ל, שכ"מ בפרה פ"ה מ"ז, שהשוקת שחיברה לסלע כשרה לקדש בה, ומ' שמתמלאת מאליה, ועי' להלן. ועי' ראשונים הנ"ל, שלת"ק שבציון 301 שהיו התינוקות יורדים למלא, לא שהיו חייבים לירד, אלא שאם ירדו אין לחוש לטומאת קבר התהום. ועי' ציון 189 ואילך, על מילוי חש"ו, לדעה זו.</w:t>
      </w:r>
    </w:p>
  </w:footnote>
  <w:footnote w:id="282">
    <w:p w14:paraId="779DE06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282</w:t>
      </w:r>
      <w:r>
        <w:rPr>
          <w:rFonts w:ascii="David" w:hAnsi="David" w:cs="David"/>
          <w:sz w:val="24"/>
          <w:szCs w:val="24"/>
          <w:rtl/>
        </w:rPr>
        <w:t xml:space="preserve"> </w:t>
      </w:r>
      <w:r>
        <w:rPr>
          <w:rFonts w:ascii="David" w:hAnsi="David" w:cs="David"/>
          <w:color w:val="000000"/>
          <w:sz w:val="18"/>
          <w:szCs w:val="18"/>
          <w:rtl/>
        </w:rPr>
        <w:t>. תוספתא שם פ"ג. תוס' ותוס' רא"ש וז"ז שם.</w:t>
      </w:r>
    </w:p>
  </w:footnote>
  <w:footnote w:id="283">
    <w:p w14:paraId="7EB7182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283</w:t>
      </w:r>
      <w:r>
        <w:rPr>
          <w:rFonts w:ascii="David" w:hAnsi="David" w:cs="David"/>
          <w:sz w:val="24"/>
          <w:szCs w:val="24"/>
          <w:rtl/>
        </w:rPr>
        <w:t xml:space="preserve"> </w:t>
      </w:r>
      <w:r>
        <w:rPr>
          <w:rFonts w:ascii="David" w:hAnsi="David" w:cs="David"/>
          <w:color w:val="000000"/>
          <w:sz w:val="18"/>
          <w:szCs w:val="18"/>
          <w:rtl/>
        </w:rPr>
        <w:t>. ציון 345 ואילך. ועי' ציון 42, שצריך שלא יסיח דעתו ממנו.</w:t>
      </w:r>
    </w:p>
  </w:footnote>
  <w:footnote w:id="284">
    <w:p w14:paraId="512666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284</w:t>
      </w:r>
      <w:r>
        <w:rPr>
          <w:rFonts w:ascii="David" w:hAnsi="David" w:cs="David"/>
          <w:sz w:val="24"/>
          <w:szCs w:val="24"/>
          <w:rtl/>
        </w:rPr>
        <w:t xml:space="preserve"> </w:t>
      </w:r>
      <w:r>
        <w:rPr>
          <w:rFonts w:ascii="David" w:hAnsi="David" w:cs="David"/>
          <w:color w:val="000000"/>
          <w:sz w:val="18"/>
          <w:szCs w:val="18"/>
          <w:rtl/>
        </w:rPr>
        <w:t>. ר"ש פרה פ"ה מ"ג, בפי' תוספתא פ"ה שם, שהמשלשל כלי למלאות ונפסק החבל מידו ונפל ונתמלא, פסול מפני שאין המילוי מכח האדם (וכ"ה בר"ש וחס"ד שבציון 315, בביאור המשך התוספ' שם), ועי' מנחת בכורים שם וחזו"א שם סי' ו ס"ק ט, ועי' ציונים 281, 349, שי"מ בע"א; עי' רש"י ור"ש שבציון 298 בד' תנאים שם, ועי' רש"י סנהדרין עז ב ד"ה ואחר, שמ' שהשוקת שמקדשים בה היתה מתמלאת מאליה, ועי' ערל"נ סנהדרין שם, ועי' להלן; ז"ז שבציון 293, בד' תנאים, וז"ז שם פ"ה ה"ז בד' תוספ' שם (וערה"ש פרה סי' סב ס"א, ועי' בהגר"א שם, ועי' להלן, ועי' ציון 345, שי"מ באופ"א), ובהגר"א לתוספתא שם פ"ג, ועי' להלן, ועי' ציון 281, וצ"ב; עי' חזו"א שם, שכ"מ בל' הרמב"ם, וע"ש שדחה, ועי' לעיל. ועי' ערל"נ ושפ"א סוכה שם, שלפ"ז שוקת שחיברה שבציון 281, היינו כשממלא השוקת בידו, ועי' חזו"א שם וכעי"ז בתפא"י יכין שם, שי"ל שמפנה המעיין אל השוקת, ועי' ערל"נ שם, שצידד שכשחקק בשוקת, חשוב המילוי מכוחו, ועי' רש"י דלעיל. ועי' ערל"נ שבציון 296, שהטעם שנתמלא מאליו פסול, משום שאינו בכלל "ונתן עליו", עי' ציון הנ"ל הנ"מ בזה.</w:t>
      </w:r>
    </w:p>
  </w:footnote>
  <w:footnote w:id="285">
    <w:p w14:paraId="4944E5E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285</w:t>
      </w:r>
      <w:r>
        <w:rPr>
          <w:rFonts w:ascii="David" w:hAnsi="David" w:cs="David"/>
          <w:sz w:val="24"/>
          <w:szCs w:val="24"/>
          <w:rtl/>
        </w:rPr>
        <w:t xml:space="preserve"> </w:t>
      </w:r>
      <w:r>
        <w:rPr>
          <w:rFonts w:ascii="David" w:hAnsi="David" w:cs="David"/>
          <w:color w:val="000000"/>
          <w:sz w:val="18"/>
          <w:szCs w:val="18"/>
          <w:rtl/>
        </w:rPr>
        <w:t>. ערה"ש שם ס"ג, ע"פ תוספתא דלהלן, ועי' חס"ד שבציון 232. וצ"ב שלכאו' כיון שמחמת זילופו הגיעו המים לכלי, חשוב כוחו. אבל משום שאין הוויתם ע"י טהרה אין לפסול, שאין נפסל מטעם זה, אלא כשנכנס לתוך הכלי ע"י דבר המק"ט, עי' ציון 328.</w:t>
      </w:r>
    </w:p>
  </w:footnote>
  <w:footnote w:id="286">
    <w:p w14:paraId="7334C2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286</w:t>
      </w:r>
      <w:r>
        <w:rPr>
          <w:rFonts w:ascii="David" w:hAnsi="David" w:cs="David"/>
          <w:sz w:val="24"/>
          <w:szCs w:val="24"/>
          <w:rtl/>
        </w:rPr>
        <w:t xml:space="preserve"> </w:t>
      </w:r>
      <w:r>
        <w:rPr>
          <w:rFonts w:ascii="David" w:hAnsi="David" w:cs="David"/>
          <w:color w:val="000000"/>
          <w:sz w:val="18"/>
          <w:szCs w:val="18"/>
          <w:rtl/>
        </w:rPr>
        <w:t>. עי' ציון 231. ערה"ש שם. ועי' תוספ' שם, לגי' שבציון 280, שאם נתמלא כבר בכלי כשר, ועי' ציון 249 וצ"ב.</w:t>
      </w:r>
    </w:p>
  </w:footnote>
  <w:footnote w:id="287">
    <w:p w14:paraId="4A261F0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287</w:t>
      </w:r>
      <w:r>
        <w:rPr>
          <w:rFonts w:ascii="David" w:hAnsi="David" w:cs="David"/>
          <w:sz w:val="24"/>
          <w:szCs w:val="24"/>
          <w:rtl/>
        </w:rPr>
        <w:t xml:space="preserve"> </w:t>
      </w:r>
      <w:r>
        <w:rPr>
          <w:rFonts w:ascii="David" w:hAnsi="David" w:cs="David"/>
          <w:color w:val="000000"/>
          <w:sz w:val="18"/>
          <w:szCs w:val="18"/>
          <w:rtl/>
        </w:rPr>
        <w:t>. ציון 232 ואילך.</w:t>
      </w:r>
    </w:p>
  </w:footnote>
  <w:footnote w:id="288">
    <w:p w14:paraId="3380A3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288</w:t>
      </w:r>
      <w:r>
        <w:rPr>
          <w:rFonts w:ascii="David" w:hAnsi="David" w:cs="David"/>
          <w:sz w:val="24"/>
          <w:szCs w:val="24"/>
          <w:rtl/>
        </w:rPr>
        <w:t xml:space="preserve"> </w:t>
      </w:r>
      <w:r>
        <w:rPr>
          <w:rFonts w:ascii="David" w:hAnsi="David" w:cs="David"/>
          <w:color w:val="000000"/>
          <w:sz w:val="18"/>
          <w:szCs w:val="18"/>
          <w:rtl/>
        </w:rPr>
        <w:t>. ערה"ש שם ס"ה, וכעי"ז בבהגר"א פ"ה שם. וצ"ב אם היינו דוקא באופן שהמים יורדים לכלי בשעת נתינתו, או אף אם באים לאחר מכן, וכן צ"ב אם היינו אף לסוברים שמילוי שלא בידים פסול, עי' ציון 298 ואילך. ועי' רש"י זבחים כה ב ד"ה חבית, שמ' בצינור המקלח מים, שאם נתן שם חבית לשם מילוי מי חטאת, כשר. ועי' ציון 134 ואילך, שי"ס שדי אם העלאת הכלי מהמעיין תהיה בכחו.</w:t>
      </w:r>
    </w:p>
  </w:footnote>
  <w:footnote w:id="289">
    <w:p w14:paraId="68FE4E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289</w:t>
      </w:r>
      <w:r>
        <w:rPr>
          <w:rFonts w:ascii="David" w:hAnsi="David" w:cs="David"/>
          <w:sz w:val="24"/>
          <w:szCs w:val="24"/>
          <w:rtl/>
        </w:rPr>
        <w:t xml:space="preserve"> </w:t>
      </w:r>
      <w:r>
        <w:rPr>
          <w:rFonts w:ascii="David" w:hAnsi="David" w:cs="David"/>
          <w:color w:val="000000"/>
          <w:sz w:val="18"/>
          <w:szCs w:val="18"/>
          <w:rtl/>
        </w:rPr>
        <w:t>. ציון 308.</w:t>
      </w:r>
    </w:p>
  </w:footnote>
  <w:footnote w:id="290">
    <w:p w14:paraId="7F0428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290</w:t>
      </w:r>
      <w:r>
        <w:rPr>
          <w:rFonts w:ascii="David" w:hAnsi="David" w:cs="David"/>
          <w:sz w:val="24"/>
          <w:szCs w:val="24"/>
          <w:rtl/>
        </w:rPr>
        <w:t xml:space="preserve"> </w:t>
      </w:r>
      <w:r>
        <w:rPr>
          <w:rFonts w:ascii="David" w:hAnsi="David" w:cs="David"/>
          <w:color w:val="000000"/>
          <w:sz w:val="18"/>
          <w:szCs w:val="18"/>
          <w:rtl/>
        </w:rPr>
        <w:t>. עי' בהגר"א לתוספתא שם; עי' אחרונים דלהלן.</w:t>
      </w:r>
    </w:p>
  </w:footnote>
  <w:footnote w:id="291">
    <w:p w14:paraId="5D9C2F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291</w:t>
      </w:r>
      <w:r>
        <w:rPr>
          <w:rFonts w:ascii="David" w:hAnsi="David" w:cs="David"/>
          <w:sz w:val="24"/>
          <w:szCs w:val="24"/>
          <w:rtl/>
        </w:rPr>
        <w:t xml:space="preserve"> </w:t>
      </w:r>
      <w:r>
        <w:rPr>
          <w:rFonts w:ascii="David" w:hAnsi="David" w:cs="David"/>
          <w:color w:val="000000"/>
          <w:sz w:val="18"/>
          <w:szCs w:val="18"/>
          <w:rtl/>
        </w:rPr>
        <w:t>. עי' לעיל.</w:t>
      </w:r>
    </w:p>
  </w:footnote>
  <w:footnote w:id="292">
    <w:p w14:paraId="4BC9F0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292</w:t>
      </w:r>
      <w:r>
        <w:rPr>
          <w:rFonts w:ascii="David" w:hAnsi="David" w:cs="David"/>
          <w:sz w:val="24"/>
          <w:szCs w:val="24"/>
          <w:rtl/>
        </w:rPr>
        <w:t xml:space="preserve"> </w:t>
      </w:r>
      <w:r>
        <w:rPr>
          <w:rFonts w:ascii="David" w:hAnsi="David" w:cs="David"/>
          <w:color w:val="000000"/>
          <w:sz w:val="18"/>
          <w:szCs w:val="18"/>
          <w:rtl/>
        </w:rPr>
        <w:t>. עי' ציון 1456, ועי' להלן. ועי' להלן: לטהרת השורף את הפרה, על דברים נוספים שהיו עושים מחשש טומאת התהום.</w:t>
      </w:r>
    </w:p>
  </w:footnote>
  <w:footnote w:id="293">
    <w:p w14:paraId="1D1AE4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293</w:t>
      </w:r>
      <w:r>
        <w:rPr>
          <w:rFonts w:ascii="David" w:hAnsi="David" w:cs="David"/>
          <w:sz w:val="24"/>
          <w:szCs w:val="24"/>
          <w:rtl/>
        </w:rPr>
        <w:t xml:space="preserve"> </w:t>
      </w:r>
      <w:r>
        <w:rPr>
          <w:rFonts w:ascii="David" w:hAnsi="David" w:cs="David"/>
          <w:color w:val="000000"/>
          <w:sz w:val="18"/>
          <w:szCs w:val="18"/>
          <w:rtl/>
        </w:rPr>
        <w:t>. עי' זר זהב לתוספתא שם פ"ג, שהיא חולקת על ת"ק ור' יוסי בפרה פ"ג מ"ב הסוברים שהתינוקות היו יורדים וממלאים או שהיו משלשלים, שלדעתם צריך מילוי מכח אדם, עי' ציון 298 ואילך.</w:t>
      </w:r>
    </w:p>
  </w:footnote>
  <w:footnote w:id="294">
    <w:p w14:paraId="2BB89E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294</w:t>
      </w:r>
      <w:r>
        <w:rPr>
          <w:rFonts w:ascii="David" w:hAnsi="David" w:cs="David"/>
          <w:sz w:val="24"/>
          <w:szCs w:val="24"/>
          <w:rtl/>
        </w:rPr>
        <w:t xml:space="preserve"> </w:t>
      </w:r>
      <w:r>
        <w:rPr>
          <w:rFonts w:ascii="David" w:hAnsi="David" w:cs="David"/>
          <w:color w:val="000000"/>
          <w:sz w:val="18"/>
          <w:szCs w:val="18"/>
          <w:rtl/>
        </w:rPr>
        <w:t>. ע"ע פרה אדומה. חס"ד לתוספתא שם פ"ג; צ"פ תניינא יסוה"ת פ"ו ה"ב (סו א) ד"ה והנה כ"כ. ועי' לעיל ציון 183. ועי' חס"ד שם, שמטעם זה אמר ר"ע "אל תתנו מקום למינין לרדד אחריכם", שיאמרו המינים שאי"ז חשוב מילוי הואיל ואינו בכח אדם, וכעי"ז בבהגר"א לתוספתא שם, לשיטתו בציון הבא. ועי' חזו"א שם.</w:t>
      </w:r>
    </w:p>
  </w:footnote>
  <w:footnote w:id="295">
    <w:p w14:paraId="64935A3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295</w:t>
      </w:r>
      <w:r>
        <w:rPr>
          <w:rFonts w:ascii="David" w:hAnsi="David" w:cs="David"/>
          <w:sz w:val="24"/>
          <w:szCs w:val="24"/>
          <w:rtl/>
        </w:rPr>
        <w:t xml:space="preserve"> </w:t>
      </w:r>
      <w:r>
        <w:rPr>
          <w:rFonts w:ascii="David" w:hAnsi="David" w:cs="David"/>
          <w:color w:val="000000"/>
          <w:sz w:val="18"/>
          <w:szCs w:val="18"/>
          <w:rtl/>
        </w:rPr>
        <w:t>. בהגר"א שם.</w:t>
      </w:r>
    </w:p>
  </w:footnote>
  <w:footnote w:id="296">
    <w:p w14:paraId="03F9E5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296</w:t>
      </w:r>
      <w:r>
        <w:rPr>
          <w:rFonts w:ascii="David" w:hAnsi="David" w:cs="David"/>
          <w:sz w:val="24"/>
          <w:szCs w:val="24"/>
          <w:rtl/>
        </w:rPr>
        <w:t xml:space="preserve"> </w:t>
      </w:r>
      <w:r>
        <w:rPr>
          <w:rFonts w:ascii="David" w:hAnsi="David" w:cs="David"/>
          <w:color w:val="000000"/>
          <w:sz w:val="18"/>
          <w:szCs w:val="18"/>
          <w:rtl/>
        </w:rPr>
        <w:t>. ערל"נ שם, ע"פ תוספ' שם. ועי' ציון 298.</w:t>
      </w:r>
    </w:p>
  </w:footnote>
  <w:footnote w:id="297">
    <w:p w14:paraId="24E0659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297</w:t>
      </w:r>
      <w:r>
        <w:rPr>
          <w:rFonts w:ascii="David" w:hAnsi="David" w:cs="David"/>
          <w:sz w:val="24"/>
          <w:szCs w:val="24"/>
          <w:rtl/>
        </w:rPr>
        <w:t xml:space="preserve"> </w:t>
      </w:r>
      <w:r>
        <w:rPr>
          <w:rFonts w:ascii="David" w:hAnsi="David" w:cs="David"/>
          <w:color w:val="000000"/>
          <w:sz w:val="18"/>
          <w:szCs w:val="18"/>
          <w:rtl/>
        </w:rPr>
        <w:t>. עי' לעיל.</w:t>
      </w:r>
    </w:p>
  </w:footnote>
  <w:footnote w:id="298">
    <w:p w14:paraId="4FA63F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298</w:t>
      </w:r>
      <w:r>
        <w:rPr>
          <w:rFonts w:ascii="David" w:hAnsi="David" w:cs="David"/>
          <w:sz w:val="24"/>
          <w:szCs w:val="24"/>
          <w:rtl/>
        </w:rPr>
        <w:t xml:space="preserve"> </w:t>
      </w:r>
      <w:r>
        <w:rPr>
          <w:rFonts w:ascii="David" w:hAnsi="David" w:cs="David"/>
          <w:color w:val="000000"/>
          <w:sz w:val="18"/>
          <w:szCs w:val="18"/>
          <w:rtl/>
        </w:rPr>
        <w:t>. עי' רש"י סוכה כא א ד"ה ירדו ור"ש ורא"ש פרה פ"ג מ"ב, בד' חכמים דלהלן, ועי' להלן. וכ"מ במאירי דלהלן, בדעתם. ועי' ערל"נ שבציון 296, שמילוי ע"י בע"ח מועיל, אבל אפשר שכ"כ לצד שבציון 308, שא"צ מילוי ביד.</w:t>
      </w:r>
    </w:p>
  </w:footnote>
  <w:footnote w:id="299">
    <w:p w14:paraId="37CCBB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299</w:t>
      </w:r>
      <w:r>
        <w:rPr>
          <w:rFonts w:ascii="David" w:hAnsi="David" w:cs="David"/>
          <w:sz w:val="24"/>
          <w:szCs w:val="24"/>
          <w:rtl/>
        </w:rPr>
        <w:t xml:space="preserve"> </w:t>
      </w:r>
      <w:r>
        <w:rPr>
          <w:rFonts w:ascii="David" w:hAnsi="David" w:cs="David"/>
          <w:color w:val="000000"/>
          <w:sz w:val="18"/>
          <w:szCs w:val="18"/>
          <w:rtl/>
        </w:rPr>
        <w:t>. במדבר יט יז.</w:t>
      </w:r>
    </w:p>
  </w:footnote>
  <w:footnote w:id="300">
    <w:p w14:paraId="4453FD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300</w:t>
      </w:r>
      <w:r>
        <w:rPr>
          <w:rFonts w:ascii="David" w:hAnsi="David" w:cs="David"/>
          <w:sz w:val="24"/>
          <w:szCs w:val="24"/>
          <w:rtl/>
        </w:rPr>
        <w:t xml:space="preserve"> </w:t>
      </w:r>
      <w:r>
        <w:rPr>
          <w:rFonts w:ascii="David" w:hAnsi="David" w:cs="David"/>
          <w:color w:val="000000"/>
          <w:sz w:val="18"/>
          <w:szCs w:val="18"/>
          <w:rtl/>
        </w:rPr>
        <w:t>. עי' שפ"א סוכה שם, ועי' להלן שי"מ ד' הראשונים בע"א. ועי' ציון 310.</w:t>
      </w:r>
    </w:p>
  </w:footnote>
  <w:footnote w:id="301">
    <w:p w14:paraId="652DFA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301</w:t>
      </w:r>
      <w:r>
        <w:rPr>
          <w:rFonts w:ascii="David" w:hAnsi="David" w:cs="David"/>
          <w:sz w:val="24"/>
          <w:szCs w:val="24"/>
          <w:rtl/>
        </w:rPr>
        <w:t xml:space="preserve"> </w:t>
      </w:r>
      <w:r>
        <w:rPr>
          <w:rFonts w:ascii="David" w:hAnsi="David" w:cs="David"/>
          <w:color w:val="000000"/>
          <w:sz w:val="18"/>
          <w:szCs w:val="18"/>
          <w:rtl/>
        </w:rPr>
        <w:t>. עי' ציון 1447 ואילך, ועי' ציון הבא.</w:t>
      </w:r>
    </w:p>
  </w:footnote>
  <w:footnote w:id="302">
    <w:p w14:paraId="2FEBA6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302</w:t>
      </w:r>
      <w:r>
        <w:rPr>
          <w:rFonts w:ascii="David" w:hAnsi="David" w:cs="David"/>
          <w:sz w:val="24"/>
          <w:szCs w:val="24"/>
          <w:rtl/>
        </w:rPr>
        <w:t xml:space="preserve"> </w:t>
      </w:r>
      <w:r>
        <w:rPr>
          <w:rFonts w:ascii="David" w:hAnsi="David" w:cs="David"/>
          <w:color w:val="000000"/>
          <w:sz w:val="18"/>
          <w:szCs w:val="18"/>
          <w:rtl/>
        </w:rPr>
        <w:t>. עי' רש"י ור"ש ורא"ש שם. וכ"מ במאירי שם: שצריכים הם למלאות בה, ועי' ציון 284. ועי' ציון 1447, שלד' ר' יוסי היו משלשלים בחבל, ועי' להלן.</w:t>
      </w:r>
    </w:p>
  </w:footnote>
  <w:footnote w:id="303">
    <w:p w14:paraId="7E548E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303</w:t>
      </w:r>
      <w:r>
        <w:rPr>
          <w:rFonts w:ascii="David" w:hAnsi="David" w:cs="David"/>
          <w:sz w:val="24"/>
          <w:szCs w:val="24"/>
          <w:rtl/>
        </w:rPr>
        <w:t xml:space="preserve"> </w:t>
      </w:r>
      <w:r>
        <w:rPr>
          <w:rFonts w:ascii="David" w:hAnsi="David" w:cs="David"/>
          <w:color w:val="000000"/>
          <w:sz w:val="18"/>
          <w:szCs w:val="18"/>
          <w:rtl/>
        </w:rPr>
        <w:t>. ציון 1451. וצ"ב אם לדעתם יכולים אף לשלשל בחבל, או שמלבד מה שאמרו שיכולים לירד, אסרו אף השלשול בחבל, ועי' ציון 1452.</w:t>
      </w:r>
    </w:p>
  </w:footnote>
  <w:footnote w:id="304">
    <w:p w14:paraId="0CF194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304</w:t>
      </w:r>
      <w:r>
        <w:rPr>
          <w:rFonts w:ascii="David" w:hAnsi="David" w:cs="David"/>
          <w:sz w:val="24"/>
          <w:szCs w:val="24"/>
          <w:rtl/>
        </w:rPr>
        <w:t xml:space="preserve"> </w:t>
      </w:r>
      <w:r>
        <w:rPr>
          <w:rFonts w:ascii="David" w:hAnsi="David" w:cs="David"/>
          <w:color w:val="000000"/>
          <w:sz w:val="18"/>
          <w:szCs w:val="18"/>
          <w:rtl/>
        </w:rPr>
        <w:t>. עי' ר"ש שם פ"ה מ"ג, שפי' תוספתא שם פ"ה, שהמשלשל כלי למלאות כשר, אף על פי שלשיטתו ד' התוספ' שאם נפסק ואינו כוחו פסול, ועי' ציונים 284, 313 ואילך, ועי' ציון 281, שי"מ בתוספ' שם שא"צ כוחו; עי' זר זהב לתוספתא פ"ג, שאף לר' יוסי הנ"ל שהיו משלשלים בחבל, צריך שייעשה ע"י התינוקות עצמם, ומ' שאע"פ שצריך כח האדם, די בשלשול כלי; אחרונים דלהלן. ועי' חזו"א פרה סי' ו ס"ק יא, שכן הלכה לראשונים אלו.</w:t>
      </w:r>
    </w:p>
  </w:footnote>
  <w:footnote w:id="305">
    <w:p w14:paraId="2AD9F73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305</w:t>
      </w:r>
      <w:r>
        <w:rPr>
          <w:rFonts w:ascii="David" w:hAnsi="David" w:cs="David"/>
          <w:sz w:val="24"/>
          <w:szCs w:val="24"/>
          <w:rtl/>
        </w:rPr>
        <w:t xml:space="preserve"> </w:t>
      </w:r>
      <w:r>
        <w:rPr>
          <w:rFonts w:ascii="David" w:hAnsi="David" w:cs="David"/>
          <w:color w:val="000000"/>
          <w:sz w:val="18"/>
          <w:szCs w:val="18"/>
          <w:rtl/>
        </w:rPr>
        <w:t>. עי' פרה פ"ז מ"ו וז.</w:t>
      </w:r>
    </w:p>
  </w:footnote>
  <w:footnote w:id="306">
    <w:p w14:paraId="06EEE7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306</w:t>
      </w:r>
      <w:r>
        <w:rPr>
          <w:rFonts w:ascii="David" w:hAnsi="David" w:cs="David"/>
          <w:sz w:val="24"/>
          <w:szCs w:val="24"/>
          <w:rtl/>
        </w:rPr>
        <w:t xml:space="preserve"> </w:t>
      </w:r>
      <w:r>
        <w:rPr>
          <w:rFonts w:ascii="David" w:hAnsi="David" w:cs="David"/>
          <w:color w:val="000000"/>
          <w:sz w:val="18"/>
          <w:szCs w:val="18"/>
          <w:rtl/>
        </w:rPr>
        <w:t>. עי' מים טהורים שם פ"ג מ"ב ופי' א' בערל"נ סוכה שם לרד"ה ירדו ולתוס' שם. ועי' ציונים הבאים פי' נוספים במשניות אלו. ועי' ציון 293, שי"ס שנחלקו התנאים אם מילוי שלא בכח אדם מועיל.</w:t>
      </w:r>
    </w:p>
  </w:footnote>
  <w:footnote w:id="307">
    <w:p w14:paraId="1623D72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307</w:t>
      </w:r>
      <w:r>
        <w:rPr>
          <w:rFonts w:ascii="David" w:hAnsi="David" w:cs="David"/>
          <w:sz w:val="24"/>
          <w:szCs w:val="24"/>
          <w:rtl/>
        </w:rPr>
        <w:t xml:space="preserve"> </w:t>
      </w:r>
      <w:r>
        <w:rPr>
          <w:rFonts w:ascii="David" w:hAnsi="David" w:cs="David"/>
          <w:color w:val="000000"/>
          <w:sz w:val="18"/>
          <w:szCs w:val="18"/>
          <w:rtl/>
        </w:rPr>
        <w:t>. ערל"נ דלהלן.</w:t>
      </w:r>
    </w:p>
  </w:footnote>
  <w:footnote w:id="308">
    <w:p w14:paraId="780130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308</w:t>
      </w:r>
      <w:r>
        <w:rPr>
          <w:rFonts w:ascii="David" w:hAnsi="David" w:cs="David"/>
          <w:sz w:val="24"/>
          <w:szCs w:val="24"/>
          <w:rtl/>
        </w:rPr>
        <w:t xml:space="preserve"> </w:t>
      </w:r>
      <w:r>
        <w:rPr>
          <w:rFonts w:ascii="David" w:hAnsi="David" w:cs="David"/>
          <w:color w:val="000000"/>
          <w:sz w:val="18"/>
          <w:szCs w:val="18"/>
          <w:rtl/>
        </w:rPr>
        <w:t>. ערל"נ שם, בביאור משניות הנ"ל שמילוי בחבל כשר, שהיינו כשמילא בכלים שאינם צפים, ועי' לעיל ולהלן.</w:t>
      </w:r>
    </w:p>
  </w:footnote>
  <w:footnote w:id="309">
    <w:p w14:paraId="60B3854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309</w:t>
      </w:r>
      <w:r>
        <w:rPr>
          <w:rFonts w:ascii="David" w:hAnsi="David" w:cs="David"/>
          <w:sz w:val="24"/>
          <w:szCs w:val="24"/>
          <w:rtl/>
        </w:rPr>
        <w:t xml:space="preserve"> </w:t>
      </w:r>
      <w:r>
        <w:rPr>
          <w:rFonts w:ascii="David" w:hAnsi="David" w:cs="David"/>
          <w:color w:val="000000"/>
          <w:sz w:val="18"/>
          <w:szCs w:val="18"/>
          <w:rtl/>
        </w:rPr>
        <w:t>. ציון 244 ואילך. ועי' ציון 263, שי"ס שאם מילא כלי ע"מ למלא כלי אחר ולקדש, כשר לד"ה.</w:t>
      </w:r>
    </w:p>
  </w:footnote>
  <w:footnote w:id="310">
    <w:p w14:paraId="620DBB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310</w:t>
      </w:r>
      <w:r>
        <w:rPr>
          <w:rFonts w:ascii="David" w:hAnsi="David" w:cs="David"/>
          <w:sz w:val="24"/>
          <w:szCs w:val="24"/>
          <w:rtl/>
        </w:rPr>
        <w:t xml:space="preserve"> </w:t>
      </w:r>
      <w:r>
        <w:rPr>
          <w:rFonts w:ascii="David" w:hAnsi="David" w:cs="David"/>
          <w:color w:val="000000"/>
          <w:sz w:val="18"/>
          <w:szCs w:val="18"/>
          <w:rtl/>
        </w:rPr>
        <w:t>. עי' שפ"א שם, בביאור משניות הנ"ל שמילוי בחבל כשר, שהיינו באופן שאין מקדש באותו כלי, ועי' לעיל. ולכאו' לפ"ז כשמקדש בכלי אחר, יכול למלאות הכלי הראשון בלא כוחו.</w:t>
      </w:r>
    </w:p>
  </w:footnote>
  <w:footnote w:id="311">
    <w:p w14:paraId="43E6D5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311</w:t>
      </w:r>
      <w:r>
        <w:rPr>
          <w:rFonts w:ascii="David" w:hAnsi="David" w:cs="David"/>
          <w:sz w:val="24"/>
          <w:szCs w:val="24"/>
          <w:rtl/>
        </w:rPr>
        <w:t xml:space="preserve"> </w:t>
      </w:r>
      <w:r>
        <w:rPr>
          <w:rFonts w:ascii="David" w:hAnsi="David" w:cs="David"/>
          <w:color w:val="000000"/>
          <w:sz w:val="18"/>
          <w:szCs w:val="18"/>
          <w:rtl/>
        </w:rPr>
        <w:t>. ציון 136. וצ"ב אם לדבריהם י"ל שצריך שיעלה הכלי בידו ולא בחבל.</w:t>
      </w:r>
    </w:p>
  </w:footnote>
  <w:footnote w:id="312">
    <w:p w14:paraId="0993222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312</w:t>
      </w:r>
      <w:r>
        <w:rPr>
          <w:rFonts w:ascii="David" w:hAnsi="David" w:cs="David"/>
          <w:sz w:val="24"/>
          <w:szCs w:val="24"/>
          <w:rtl/>
        </w:rPr>
        <w:t xml:space="preserve"> </w:t>
      </w:r>
      <w:r>
        <w:rPr>
          <w:rFonts w:ascii="David" w:hAnsi="David" w:cs="David"/>
          <w:color w:val="000000"/>
          <w:sz w:val="18"/>
          <w:szCs w:val="18"/>
          <w:rtl/>
        </w:rPr>
        <w:t>. עי' ציון 304.</w:t>
      </w:r>
    </w:p>
  </w:footnote>
  <w:footnote w:id="313">
    <w:p w14:paraId="6C9116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313</w:t>
      </w:r>
      <w:r>
        <w:rPr>
          <w:rFonts w:ascii="David" w:hAnsi="David" w:cs="David"/>
          <w:sz w:val="24"/>
          <w:szCs w:val="24"/>
          <w:rtl/>
        </w:rPr>
        <w:t xml:space="preserve"> </w:t>
      </w:r>
      <w:r>
        <w:rPr>
          <w:rFonts w:ascii="David" w:hAnsi="David" w:cs="David"/>
          <w:color w:val="000000"/>
          <w:sz w:val="18"/>
          <w:szCs w:val="18"/>
          <w:rtl/>
        </w:rPr>
        <w:t>. ר"ש פרה פ"ה מ"ג בביאור תוספתא שם פ"ה. ועי' ציונים 281, 349, שי"מ בע"א.</w:t>
      </w:r>
    </w:p>
  </w:footnote>
  <w:footnote w:id="314">
    <w:p w14:paraId="1512027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314</w:t>
      </w:r>
      <w:r>
        <w:rPr>
          <w:rFonts w:ascii="David" w:hAnsi="David" w:cs="David"/>
          <w:sz w:val="24"/>
          <w:szCs w:val="24"/>
          <w:rtl/>
        </w:rPr>
        <w:t xml:space="preserve"> </w:t>
      </w:r>
      <w:r>
        <w:rPr>
          <w:rFonts w:ascii="David" w:hAnsi="David" w:cs="David"/>
          <w:color w:val="000000"/>
          <w:sz w:val="18"/>
          <w:szCs w:val="18"/>
          <w:rtl/>
        </w:rPr>
        <w:t>. עי' ציון 284 ואילך.</w:t>
      </w:r>
    </w:p>
  </w:footnote>
  <w:footnote w:id="315">
    <w:p w14:paraId="6EF525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315</w:t>
      </w:r>
      <w:r>
        <w:rPr>
          <w:rFonts w:ascii="David" w:hAnsi="David" w:cs="David"/>
          <w:sz w:val="24"/>
          <w:szCs w:val="24"/>
          <w:rtl/>
        </w:rPr>
        <w:t xml:space="preserve"> </w:t>
      </w:r>
      <w:r>
        <w:rPr>
          <w:rFonts w:ascii="David" w:hAnsi="David" w:cs="David"/>
          <w:color w:val="000000"/>
          <w:sz w:val="18"/>
          <w:szCs w:val="18"/>
          <w:rtl/>
        </w:rPr>
        <w:t>. עי' ר"ש שם, וחס"ד שם וחזו"א פרה סי' יא ס"ק ו, ועי' מנחת ביכורים שם, וצ"ב אם כוונתו לזה. ועי' ציון 350, שנחלקו ת"ק ורשב"ג במח' נוספת כעי"ז. ועי' ציון 373, על ההלכה. ועי' תוספ' שם, שמ' שאף לד' חכמים לא החמירו להצריך לנגב את המים קודם שממלא, כשם שהחמירו בשאר מים פסולים משום תערובתם, עי' ציון 720, ועי' חזו"א וחס"ד שם.</w:t>
      </w:r>
    </w:p>
  </w:footnote>
  <w:footnote w:id="316">
    <w:p w14:paraId="4D9A9EA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316</w:t>
      </w:r>
      <w:r>
        <w:rPr>
          <w:rFonts w:ascii="David" w:hAnsi="David" w:cs="David"/>
          <w:sz w:val="24"/>
          <w:szCs w:val="24"/>
          <w:rtl/>
        </w:rPr>
        <w:t xml:space="preserve"> </w:t>
      </w:r>
      <w:r>
        <w:rPr>
          <w:rFonts w:ascii="David" w:hAnsi="David" w:cs="David"/>
          <w:color w:val="000000"/>
          <w:sz w:val="18"/>
          <w:szCs w:val="18"/>
          <w:rtl/>
        </w:rPr>
        <w:t>. עי' משנה וגמ' ורמב"ם דלהלן.</w:t>
      </w:r>
    </w:p>
  </w:footnote>
  <w:footnote w:id="317">
    <w:p w14:paraId="3FC4C16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317</w:t>
      </w:r>
      <w:r>
        <w:rPr>
          <w:rFonts w:ascii="David" w:hAnsi="David" w:cs="David"/>
          <w:sz w:val="24"/>
          <w:szCs w:val="24"/>
          <w:rtl/>
        </w:rPr>
        <w:t xml:space="preserve"> </w:t>
      </w:r>
      <w:r>
        <w:rPr>
          <w:rFonts w:ascii="David" w:hAnsi="David" w:cs="David"/>
          <w:color w:val="000000"/>
          <w:sz w:val="18"/>
          <w:szCs w:val="18"/>
          <w:rtl/>
        </w:rPr>
        <w:t>. עי' משנה דלהלן. וע"ע טמאה ציון 37.</w:t>
      </w:r>
    </w:p>
  </w:footnote>
  <w:footnote w:id="318">
    <w:p w14:paraId="7A3DA09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318</w:t>
      </w:r>
      <w:r>
        <w:rPr>
          <w:rFonts w:ascii="David" w:hAnsi="David" w:cs="David"/>
          <w:sz w:val="24"/>
          <w:szCs w:val="24"/>
          <w:rtl/>
        </w:rPr>
        <w:t xml:space="preserve"> </w:t>
      </w:r>
      <w:r>
        <w:rPr>
          <w:rFonts w:ascii="David" w:hAnsi="David" w:cs="David"/>
          <w:color w:val="000000"/>
          <w:sz w:val="18"/>
          <w:szCs w:val="18"/>
          <w:rtl/>
        </w:rPr>
        <w:t>. ר"ש ורא"ש ורע"ב פרה פ"ו מ"ד; מאירי מקואות פ"ה מ"ה (ג). וכ"נ בפהמ"ש לרמב"ם פרה שם, ועי' תו"ח ומהרי"ח פרה שם, וצ"ב, ועי' רמב"ם פרה פ"ו ה"ח, קצת בע"א. ועי' ציון 240.</w:t>
      </w:r>
    </w:p>
  </w:footnote>
  <w:footnote w:id="319">
    <w:p w14:paraId="294645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319</w:t>
      </w:r>
      <w:r>
        <w:rPr>
          <w:rFonts w:ascii="David" w:hAnsi="David" w:cs="David"/>
          <w:sz w:val="24"/>
          <w:szCs w:val="24"/>
          <w:rtl/>
        </w:rPr>
        <w:t xml:space="preserve"> </w:t>
      </w:r>
      <w:r>
        <w:rPr>
          <w:rFonts w:ascii="David" w:hAnsi="David" w:cs="David"/>
          <w:color w:val="000000"/>
          <w:sz w:val="18"/>
          <w:szCs w:val="18"/>
          <w:rtl/>
        </w:rPr>
        <w:t>. עי' משנה דלהלן.</w:t>
      </w:r>
    </w:p>
  </w:footnote>
  <w:footnote w:id="320">
    <w:p w14:paraId="07D6C41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320</w:t>
      </w:r>
      <w:r>
        <w:rPr>
          <w:rFonts w:ascii="David" w:hAnsi="David" w:cs="David"/>
          <w:sz w:val="24"/>
          <w:szCs w:val="24"/>
          <w:rtl/>
        </w:rPr>
        <w:t xml:space="preserve"> </w:t>
      </w:r>
      <w:r>
        <w:rPr>
          <w:rFonts w:ascii="David" w:hAnsi="David" w:cs="David"/>
          <w:color w:val="000000"/>
          <w:sz w:val="18"/>
          <w:szCs w:val="18"/>
          <w:rtl/>
        </w:rPr>
        <w:t>. עי' משנה פרה שם, ורמב"ם שם, ועי' גמ' דלהלן. ועי' תפא"י שם בועז אות ד, שאם עשה כן ע"י כלים כשרים, כיון שהיה יכול למלאות המים באותם כלים. ועי' חזו"א פרה סי' יא ס"ק ג, שהוא משום שהמילוי הוא בכניסת המים לכלי, עי' ציון 124.</w:t>
      </w:r>
    </w:p>
  </w:footnote>
  <w:footnote w:id="321">
    <w:p w14:paraId="552DED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321</w:t>
      </w:r>
      <w:r>
        <w:rPr>
          <w:rFonts w:ascii="David" w:hAnsi="David" w:cs="David"/>
          <w:sz w:val="24"/>
          <w:szCs w:val="24"/>
          <w:rtl/>
        </w:rPr>
        <w:t xml:space="preserve"> </w:t>
      </w:r>
      <w:r>
        <w:rPr>
          <w:rFonts w:ascii="David" w:hAnsi="David" w:cs="David"/>
          <w:color w:val="000000"/>
          <w:sz w:val="18"/>
          <w:szCs w:val="18"/>
          <w:rtl/>
        </w:rPr>
        <w:t>. ויקרא יא לו.</w:t>
      </w:r>
    </w:p>
  </w:footnote>
  <w:footnote w:id="322">
    <w:p w14:paraId="5DF7F3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322</w:t>
      </w:r>
      <w:r>
        <w:rPr>
          <w:rFonts w:ascii="David" w:hAnsi="David" w:cs="David"/>
          <w:sz w:val="24"/>
          <w:szCs w:val="24"/>
          <w:rtl/>
        </w:rPr>
        <w:t xml:space="preserve"> </w:t>
      </w:r>
      <w:r>
        <w:rPr>
          <w:rFonts w:ascii="David" w:hAnsi="David" w:cs="David"/>
          <w:color w:val="000000"/>
          <w:sz w:val="18"/>
          <w:szCs w:val="18"/>
          <w:rtl/>
        </w:rPr>
        <w:t>. זבחים כה ב.</w:t>
      </w:r>
    </w:p>
  </w:footnote>
  <w:footnote w:id="323">
    <w:p w14:paraId="0C41C8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323</w:t>
      </w:r>
      <w:r>
        <w:rPr>
          <w:rFonts w:ascii="David" w:hAnsi="David" w:cs="David"/>
          <w:sz w:val="24"/>
          <w:szCs w:val="24"/>
          <w:rtl/>
        </w:rPr>
        <w:t xml:space="preserve"> </w:t>
      </w:r>
      <w:r>
        <w:rPr>
          <w:rFonts w:ascii="David" w:hAnsi="David" w:cs="David"/>
          <w:color w:val="000000"/>
          <w:sz w:val="18"/>
          <w:szCs w:val="18"/>
          <w:rtl/>
        </w:rPr>
        <w:t>. רש"י שם ד"ה הוייתן.</w:t>
      </w:r>
    </w:p>
  </w:footnote>
  <w:footnote w:id="324">
    <w:p w14:paraId="52C244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324</w:t>
      </w:r>
      <w:r>
        <w:rPr>
          <w:rFonts w:ascii="David" w:hAnsi="David" w:cs="David"/>
          <w:sz w:val="24"/>
          <w:szCs w:val="24"/>
          <w:rtl/>
        </w:rPr>
        <w:t xml:space="preserve"> </w:t>
      </w:r>
      <w:r>
        <w:rPr>
          <w:rFonts w:ascii="David" w:hAnsi="David" w:cs="David"/>
          <w:color w:val="000000"/>
          <w:sz w:val="18"/>
          <w:szCs w:val="18"/>
          <w:rtl/>
        </w:rPr>
        <w:t>. ראשונים דלהלן.</w:t>
      </w:r>
    </w:p>
  </w:footnote>
  <w:footnote w:id="325">
    <w:p w14:paraId="01B7D62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325</w:t>
      </w:r>
      <w:r>
        <w:rPr>
          <w:rFonts w:ascii="David" w:hAnsi="David" w:cs="David"/>
          <w:sz w:val="24"/>
          <w:szCs w:val="24"/>
          <w:rtl/>
        </w:rPr>
        <w:t xml:space="preserve"> </w:t>
      </w:r>
      <w:r>
        <w:rPr>
          <w:rFonts w:ascii="David" w:hAnsi="David" w:cs="David"/>
          <w:color w:val="000000"/>
          <w:sz w:val="18"/>
          <w:szCs w:val="18"/>
          <w:rtl/>
        </w:rPr>
        <w:t>. עי' ר"ש מקואות פ"ב מ"ג; רע"ב פרה שם. וכעי"ז ברש"י שם.</w:t>
      </w:r>
    </w:p>
  </w:footnote>
  <w:footnote w:id="326">
    <w:p w14:paraId="049F25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326</w:t>
      </w:r>
      <w:r>
        <w:rPr>
          <w:rFonts w:ascii="David" w:hAnsi="David" w:cs="David"/>
          <w:sz w:val="24"/>
          <w:szCs w:val="24"/>
          <w:rtl/>
        </w:rPr>
        <w:t xml:space="preserve"> </w:t>
      </w:r>
      <w:r>
        <w:rPr>
          <w:rFonts w:ascii="David" w:hAnsi="David" w:cs="David"/>
          <w:color w:val="000000"/>
          <w:sz w:val="18"/>
          <w:szCs w:val="18"/>
          <w:rtl/>
        </w:rPr>
        <w:t>. רא"ש דלהלן, שכן עלה בלבו, ושכ"נ ד' הרמב"ם, וכ"כ בדעתו בב"י יו"ד רא, אבל כ' הרא"ש שירא ואינו רשאי להקל. וע"ע מקוה.</w:t>
      </w:r>
    </w:p>
  </w:footnote>
  <w:footnote w:id="327">
    <w:p w14:paraId="6880CE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327</w:t>
      </w:r>
      <w:r>
        <w:rPr>
          <w:rFonts w:ascii="David" w:hAnsi="David" w:cs="David"/>
          <w:sz w:val="24"/>
          <w:szCs w:val="24"/>
          <w:rtl/>
        </w:rPr>
        <w:t xml:space="preserve"> </w:t>
      </w:r>
      <w:r>
        <w:rPr>
          <w:rFonts w:ascii="David" w:hAnsi="David" w:cs="David"/>
          <w:color w:val="000000"/>
          <w:sz w:val="18"/>
          <w:szCs w:val="18"/>
          <w:rtl/>
        </w:rPr>
        <w:t>. עי' ציון 6 ואילך. עי' שו"ת הרא"ש כלל לא סי' ז.</w:t>
      </w:r>
    </w:p>
  </w:footnote>
  <w:footnote w:id="328">
    <w:p w14:paraId="307263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328</w:t>
      </w:r>
      <w:r>
        <w:rPr>
          <w:rFonts w:ascii="David" w:hAnsi="David" w:cs="David"/>
          <w:sz w:val="24"/>
          <w:szCs w:val="24"/>
          <w:rtl/>
        </w:rPr>
        <w:t xml:space="preserve"> </w:t>
      </w:r>
      <w:r>
        <w:rPr>
          <w:rFonts w:ascii="David" w:hAnsi="David" w:cs="David"/>
          <w:color w:val="000000"/>
          <w:sz w:val="18"/>
          <w:szCs w:val="18"/>
          <w:rtl/>
        </w:rPr>
        <w:t>. עי' שו"ת הרא"ש שם וחזו"א פרה סי' יא ס"ק טו, ע"פ ציון הבא, ועי' ציונים 232, 285. וע"ע אויר (א) ציון 19 ואילך.</w:t>
      </w:r>
    </w:p>
  </w:footnote>
  <w:footnote w:id="329">
    <w:p w14:paraId="2F5E8F9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329</w:t>
      </w:r>
      <w:r>
        <w:rPr>
          <w:rFonts w:ascii="David" w:hAnsi="David" w:cs="David"/>
          <w:sz w:val="24"/>
          <w:szCs w:val="24"/>
          <w:rtl/>
        </w:rPr>
        <w:t xml:space="preserve"> </w:t>
      </w:r>
      <w:r>
        <w:rPr>
          <w:rFonts w:ascii="David" w:hAnsi="David" w:cs="David"/>
          <w:color w:val="000000"/>
          <w:sz w:val="18"/>
          <w:szCs w:val="18"/>
          <w:rtl/>
        </w:rPr>
        <w:t>. זבחים שם, ועי' ציון הבא, ועי' ציון 124 ואילך, וע"ע הנ"ל ציון 20.</w:t>
      </w:r>
    </w:p>
  </w:footnote>
  <w:footnote w:id="330">
    <w:p w14:paraId="59B779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330</w:t>
      </w:r>
      <w:r>
        <w:rPr>
          <w:rFonts w:ascii="David" w:hAnsi="David" w:cs="David"/>
          <w:sz w:val="24"/>
          <w:szCs w:val="24"/>
          <w:rtl/>
        </w:rPr>
        <w:t xml:space="preserve"> </w:t>
      </w:r>
      <w:r>
        <w:rPr>
          <w:rFonts w:ascii="David" w:hAnsi="David" w:cs="David"/>
          <w:color w:val="000000"/>
          <w:sz w:val="18"/>
          <w:szCs w:val="18"/>
          <w:rtl/>
        </w:rPr>
        <w:t>. על הווייה בכח אדם, ע"ע כחו ציון 242, על הווייה ע"י הסרת מניעה, ע"ע הנ"ל ציון 444 ואילך.</w:t>
      </w:r>
    </w:p>
  </w:footnote>
  <w:footnote w:id="331">
    <w:p w14:paraId="6EAA23C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331</w:t>
      </w:r>
      <w:r>
        <w:rPr>
          <w:rFonts w:ascii="David" w:hAnsi="David" w:cs="David"/>
          <w:sz w:val="24"/>
          <w:szCs w:val="24"/>
          <w:rtl/>
        </w:rPr>
        <w:t xml:space="preserve"> </w:t>
      </w:r>
      <w:r>
        <w:rPr>
          <w:rFonts w:ascii="David" w:hAnsi="David" w:cs="David"/>
          <w:color w:val="000000"/>
          <w:sz w:val="18"/>
          <w:szCs w:val="18"/>
          <w:rtl/>
        </w:rPr>
        <w:t>. עי' ציון 225 ואילך, ועי' ציון 240. עי' פהמ"ש שם, ועי' רמב"ם שם, ועי' ציון 232, וצ"ב לפ"ז למה הוא תלוי באויר כלי ככלי, עי' ציון 329, ועי' חזו"א שם ס"ק טז. וצ"ב אם לפ"ז גדרי הווייתו ע"י טהרה, שונים מהגדרים לשא"ר, עי' ציון הקודם.</w:t>
      </w:r>
    </w:p>
  </w:footnote>
  <w:footnote w:id="332">
    <w:p w14:paraId="102C8D2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332</w:t>
      </w:r>
      <w:r>
        <w:rPr>
          <w:rFonts w:ascii="David" w:hAnsi="David" w:cs="David"/>
          <w:sz w:val="24"/>
          <w:szCs w:val="24"/>
          <w:rtl/>
        </w:rPr>
        <w:t xml:space="preserve"> </w:t>
      </w:r>
      <w:r>
        <w:rPr>
          <w:rFonts w:ascii="David" w:hAnsi="David" w:cs="David"/>
          <w:color w:val="000000"/>
          <w:sz w:val="18"/>
          <w:szCs w:val="18"/>
          <w:rtl/>
        </w:rPr>
        <w:t>. עי' זבחים כה ב, ורש"י שם ד"ה חבית, ושמ"ק שם אות י, ועי' ציון 235, ועי' דברי מלכיאל ח"ב סי' סה אות ט; עי' תוספ' דלהלן, ואחרונים שבציון 498 בביאורה; עי' רמב"ם פרה פ"ט ה"א, ורמב"ם שבציון 373, וכ"מ ברמב"ם שם ה"ב ע"פ תוספתא דלהלן, עי' משאת המלך סי' שפז; תור"פ פסחים לד ב; שמ"ק (אופק) חולין ט ב, ועי' ציון 235; עי' ראשונים ואחרונים דלהלן ושבציון 349 ואילך. ועי' צ"פ שבת פכ"ט הט"ז ובקונ' ההשלמה השמטה א ד"ה ובזה מדוייק (הה') ותניינא יסוה"ת פ"ו ה"ב (סו א) ד"ה והנה כ"כ. ועי' ערה"ש פרה סי' סח אות א, ושם אם צריך לומר בפה שיהא לשמה, ואם אומרים בו "סתמא לשמה", וע"ע לשמה ציון 126 ואילך, וע' הנ"ל: עשייה בסתם, ושם ציון 685 ואילך. על כוונה למלאות, עי' להלן ציון 498.</w:t>
      </w:r>
    </w:p>
  </w:footnote>
  <w:footnote w:id="333">
    <w:p w14:paraId="182EBE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333</w:t>
      </w:r>
      <w:r>
        <w:rPr>
          <w:rFonts w:ascii="David" w:hAnsi="David" w:cs="David"/>
          <w:sz w:val="24"/>
          <w:szCs w:val="24"/>
          <w:rtl/>
        </w:rPr>
        <w:t xml:space="preserve"> </w:t>
      </w:r>
      <w:r>
        <w:rPr>
          <w:rFonts w:ascii="David" w:hAnsi="David" w:cs="David"/>
          <w:color w:val="000000"/>
          <w:sz w:val="18"/>
          <w:szCs w:val="18"/>
          <w:rtl/>
        </w:rPr>
        <w:t>. עי' ציון 38 ואילך.</w:t>
      </w:r>
    </w:p>
  </w:footnote>
  <w:footnote w:id="334">
    <w:p w14:paraId="545683B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334</w:t>
      </w:r>
      <w:r>
        <w:rPr>
          <w:rFonts w:ascii="David" w:hAnsi="David" w:cs="David"/>
          <w:sz w:val="24"/>
          <w:szCs w:val="24"/>
          <w:rtl/>
        </w:rPr>
        <w:t xml:space="preserve"> </w:t>
      </w:r>
      <w:r>
        <w:rPr>
          <w:rFonts w:ascii="David" w:hAnsi="David" w:cs="David"/>
          <w:color w:val="000000"/>
          <w:sz w:val="18"/>
          <w:szCs w:val="18"/>
          <w:rtl/>
        </w:rPr>
        <w:t>. חזו"א פרה סי' יא ס"ק ד.</w:t>
      </w:r>
    </w:p>
  </w:footnote>
  <w:footnote w:id="335">
    <w:p w14:paraId="1608B1A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335</w:t>
      </w:r>
      <w:r>
        <w:rPr>
          <w:rFonts w:ascii="David" w:hAnsi="David" w:cs="David"/>
          <w:sz w:val="24"/>
          <w:szCs w:val="24"/>
          <w:rtl/>
        </w:rPr>
        <w:t xml:space="preserve"> </w:t>
      </w:r>
      <w:r>
        <w:rPr>
          <w:rFonts w:ascii="David" w:hAnsi="David" w:cs="David"/>
          <w:color w:val="000000"/>
          <w:sz w:val="18"/>
          <w:szCs w:val="18"/>
          <w:rtl/>
        </w:rPr>
        <w:t>. במדבר יט יז.</w:t>
      </w:r>
    </w:p>
  </w:footnote>
  <w:footnote w:id="336">
    <w:p w14:paraId="6694B5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336</w:t>
      </w:r>
      <w:r>
        <w:rPr>
          <w:rFonts w:ascii="David" w:hAnsi="David" w:cs="David"/>
          <w:sz w:val="24"/>
          <w:szCs w:val="24"/>
          <w:rtl/>
        </w:rPr>
        <w:t xml:space="preserve"> </w:t>
      </w:r>
      <w:r>
        <w:rPr>
          <w:rFonts w:ascii="David" w:hAnsi="David" w:cs="David"/>
          <w:color w:val="000000"/>
          <w:sz w:val="18"/>
          <w:szCs w:val="18"/>
          <w:rtl/>
        </w:rPr>
        <w:t>. תוספתא פרה פ"ו. אחרונים שבציון 498, ומשאת המלך שם ע"פ רמב"ם שם. ועי' ציון 498.</w:t>
      </w:r>
    </w:p>
  </w:footnote>
  <w:footnote w:id="337">
    <w:p w14:paraId="72151A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337</w:t>
      </w:r>
      <w:r>
        <w:rPr>
          <w:rFonts w:ascii="David" w:hAnsi="David" w:cs="David"/>
          <w:sz w:val="24"/>
          <w:szCs w:val="24"/>
          <w:rtl/>
        </w:rPr>
        <w:t xml:space="preserve"> </w:t>
      </w:r>
      <w:r>
        <w:rPr>
          <w:rFonts w:ascii="David" w:hAnsi="David" w:cs="David"/>
          <w:color w:val="000000"/>
          <w:sz w:val="18"/>
          <w:szCs w:val="18"/>
          <w:rtl/>
        </w:rPr>
        <w:t>. עי' דעת יוסף פרה פ"ז מ"א.</w:t>
      </w:r>
    </w:p>
  </w:footnote>
  <w:footnote w:id="338">
    <w:p w14:paraId="2EA27C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338</w:t>
      </w:r>
      <w:r>
        <w:rPr>
          <w:rFonts w:ascii="David" w:hAnsi="David" w:cs="David"/>
          <w:sz w:val="24"/>
          <w:szCs w:val="24"/>
          <w:rtl/>
        </w:rPr>
        <w:t xml:space="preserve"> </w:t>
      </w:r>
      <w:r>
        <w:rPr>
          <w:rFonts w:ascii="David" w:hAnsi="David" w:cs="David"/>
          <w:color w:val="000000"/>
          <w:sz w:val="18"/>
          <w:szCs w:val="18"/>
          <w:rtl/>
        </w:rPr>
        <w:t>. במדבר שם.</w:t>
      </w:r>
    </w:p>
  </w:footnote>
  <w:footnote w:id="339">
    <w:p w14:paraId="2A9C30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339</w:t>
      </w:r>
      <w:r>
        <w:rPr>
          <w:rFonts w:ascii="David" w:hAnsi="David" w:cs="David"/>
          <w:sz w:val="24"/>
          <w:szCs w:val="24"/>
          <w:rtl/>
        </w:rPr>
        <w:t xml:space="preserve"> </w:t>
      </w:r>
      <w:r>
        <w:rPr>
          <w:rFonts w:ascii="David" w:hAnsi="David" w:cs="David"/>
          <w:color w:val="000000"/>
          <w:sz w:val="18"/>
          <w:szCs w:val="18"/>
          <w:rtl/>
        </w:rPr>
        <w:t>. עי' ציון 405 ואילך, מח' תנאים בדיעבד, ושלכתחילה כ"ה לד"ה.</w:t>
      </w:r>
    </w:p>
  </w:footnote>
  <w:footnote w:id="340">
    <w:p w14:paraId="44FE7E8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340</w:t>
      </w:r>
      <w:r>
        <w:rPr>
          <w:rFonts w:ascii="David" w:hAnsi="David" w:cs="David"/>
          <w:sz w:val="24"/>
          <w:szCs w:val="24"/>
          <w:rtl/>
        </w:rPr>
        <w:t xml:space="preserve"> </w:t>
      </w:r>
      <w:r>
        <w:rPr>
          <w:rFonts w:ascii="David" w:hAnsi="David" w:cs="David"/>
          <w:color w:val="000000"/>
          <w:sz w:val="18"/>
          <w:szCs w:val="18"/>
          <w:rtl/>
        </w:rPr>
        <w:t>. ציונים 405 ואילך, 514 ואילך. ועי' ציון 429.</w:t>
      </w:r>
    </w:p>
  </w:footnote>
  <w:footnote w:id="341">
    <w:p w14:paraId="72484E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341</w:t>
      </w:r>
      <w:r>
        <w:rPr>
          <w:rFonts w:ascii="David" w:hAnsi="David" w:cs="David"/>
          <w:sz w:val="24"/>
          <w:szCs w:val="24"/>
          <w:rtl/>
        </w:rPr>
        <w:t xml:space="preserve"> </w:t>
      </w:r>
      <w:r>
        <w:rPr>
          <w:rFonts w:ascii="David" w:hAnsi="David" w:cs="David"/>
          <w:color w:val="000000"/>
          <w:sz w:val="18"/>
          <w:szCs w:val="18"/>
          <w:rtl/>
        </w:rPr>
        <w:t>. רלב"ג דלהלן, ועי' תוס' שבציון 429.</w:t>
      </w:r>
    </w:p>
  </w:footnote>
  <w:footnote w:id="342">
    <w:p w14:paraId="5B0293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342</w:t>
      </w:r>
      <w:r>
        <w:rPr>
          <w:rFonts w:ascii="David" w:hAnsi="David" w:cs="David"/>
          <w:sz w:val="24"/>
          <w:szCs w:val="24"/>
          <w:rtl/>
        </w:rPr>
        <w:t xml:space="preserve"> </w:t>
      </w:r>
      <w:r>
        <w:rPr>
          <w:rFonts w:ascii="David" w:hAnsi="David" w:cs="David"/>
          <w:color w:val="000000"/>
          <w:sz w:val="18"/>
          <w:szCs w:val="18"/>
          <w:rtl/>
        </w:rPr>
        <w:t>. רלב"ג במדבר יט יז. וצ"ב אם חולק במהות הכוונה על ראשונים ואחרונים דלעיל.</w:t>
      </w:r>
    </w:p>
  </w:footnote>
  <w:footnote w:id="343">
    <w:p w14:paraId="0CE5C2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343</w:t>
      </w:r>
      <w:r>
        <w:rPr>
          <w:rFonts w:ascii="David" w:hAnsi="David" w:cs="David"/>
          <w:sz w:val="24"/>
          <w:szCs w:val="24"/>
          <w:rtl/>
        </w:rPr>
        <w:t xml:space="preserve"> </w:t>
      </w:r>
      <w:r>
        <w:rPr>
          <w:rFonts w:ascii="David" w:hAnsi="David" w:cs="David"/>
          <w:color w:val="000000"/>
          <w:sz w:val="18"/>
          <w:szCs w:val="18"/>
          <w:rtl/>
        </w:rPr>
        <w:t>. ציון 501 ואילך. ועי' תור"פ שם, שמ' שדרש כן מהכתוב "מים חיים אל כלי", וכ"כ צ"פ שבת שם ובקונ' ההשלמה שם, וצ"ב כיצד נלמד משם, ועי' ציון 235.</w:t>
      </w:r>
    </w:p>
  </w:footnote>
  <w:footnote w:id="344">
    <w:p w14:paraId="656E36D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344</w:t>
      </w:r>
      <w:r>
        <w:rPr>
          <w:rFonts w:ascii="David" w:hAnsi="David" w:cs="David"/>
          <w:sz w:val="24"/>
          <w:szCs w:val="24"/>
          <w:rtl/>
        </w:rPr>
        <w:t xml:space="preserve"> </w:t>
      </w:r>
      <w:r>
        <w:rPr>
          <w:rFonts w:ascii="David" w:hAnsi="David" w:cs="David"/>
          <w:color w:val="000000"/>
          <w:sz w:val="18"/>
          <w:szCs w:val="18"/>
          <w:rtl/>
        </w:rPr>
        <w:t>. עי' ציון 281 ואילך.</w:t>
      </w:r>
    </w:p>
  </w:footnote>
  <w:footnote w:id="345">
    <w:p w14:paraId="503ABB2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345</w:t>
      </w:r>
      <w:r>
        <w:rPr>
          <w:rFonts w:ascii="David" w:hAnsi="David" w:cs="David"/>
          <w:sz w:val="24"/>
          <w:szCs w:val="24"/>
          <w:rtl/>
        </w:rPr>
        <w:t xml:space="preserve"> </w:t>
      </w:r>
      <w:r>
        <w:rPr>
          <w:rFonts w:ascii="David" w:hAnsi="David" w:cs="David"/>
          <w:color w:val="000000"/>
          <w:sz w:val="18"/>
          <w:szCs w:val="18"/>
          <w:rtl/>
        </w:rPr>
        <w:t>. חזו"א שם סי' ו ס"ק ט. וע"ש שמטעם זה פסלו בתוספתא שם פ"ה מעיין היורד למכתשת, שהיינו כשירד שלא לדעת אדם, ועי' בהגר"א שם, ועי' ציון 284. ועי' ציון 42.</w:t>
      </w:r>
    </w:p>
  </w:footnote>
  <w:footnote w:id="346">
    <w:p w14:paraId="782BD52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346</w:t>
      </w:r>
      <w:r>
        <w:rPr>
          <w:rFonts w:ascii="David" w:hAnsi="David" w:cs="David"/>
          <w:sz w:val="24"/>
          <w:szCs w:val="24"/>
          <w:rtl/>
        </w:rPr>
        <w:t xml:space="preserve"> </w:t>
      </w:r>
      <w:r>
        <w:rPr>
          <w:rFonts w:ascii="David" w:hAnsi="David" w:cs="David"/>
          <w:color w:val="000000"/>
          <w:sz w:val="18"/>
          <w:szCs w:val="18"/>
          <w:rtl/>
        </w:rPr>
        <w:t>. עי' מק"ד טהרות סי' נא אות ב.</w:t>
      </w:r>
    </w:p>
  </w:footnote>
  <w:footnote w:id="347">
    <w:p w14:paraId="449E67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347</w:t>
      </w:r>
      <w:r>
        <w:rPr>
          <w:rFonts w:ascii="David" w:hAnsi="David" w:cs="David"/>
          <w:sz w:val="24"/>
          <w:szCs w:val="24"/>
          <w:rtl/>
        </w:rPr>
        <w:t xml:space="preserve"> </w:t>
      </w:r>
      <w:r>
        <w:rPr>
          <w:rFonts w:ascii="David" w:hAnsi="David" w:cs="David"/>
          <w:color w:val="000000"/>
          <w:sz w:val="18"/>
          <w:szCs w:val="18"/>
          <w:rtl/>
        </w:rPr>
        <w:t>. עי' ציון 282.</w:t>
      </w:r>
    </w:p>
  </w:footnote>
  <w:footnote w:id="348">
    <w:p w14:paraId="0BF4B9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348</w:t>
      </w:r>
      <w:r>
        <w:rPr>
          <w:rFonts w:ascii="David" w:hAnsi="David" w:cs="David"/>
          <w:sz w:val="24"/>
          <w:szCs w:val="24"/>
          <w:rtl/>
        </w:rPr>
        <w:t xml:space="preserve"> </w:t>
      </w:r>
      <w:r>
        <w:rPr>
          <w:rFonts w:ascii="David" w:hAnsi="David" w:cs="David"/>
          <w:color w:val="000000"/>
          <w:sz w:val="18"/>
          <w:szCs w:val="18"/>
          <w:rtl/>
        </w:rPr>
        <w:t>. עי' מק"ד שם.</w:t>
      </w:r>
    </w:p>
  </w:footnote>
  <w:footnote w:id="349">
    <w:p w14:paraId="4689627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349</w:t>
      </w:r>
      <w:r>
        <w:rPr>
          <w:rFonts w:ascii="David" w:hAnsi="David" w:cs="David"/>
          <w:sz w:val="24"/>
          <w:szCs w:val="24"/>
          <w:rtl/>
        </w:rPr>
        <w:t xml:space="preserve"> </w:t>
      </w:r>
      <w:r>
        <w:rPr>
          <w:rFonts w:ascii="David" w:hAnsi="David" w:cs="David"/>
          <w:color w:val="000000"/>
          <w:sz w:val="18"/>
          <w:szCs w:val="18"/>
          <w:rtl/>
        </w:rPr>
        <w:t>. ר"ש פרה פ"ה מ"ג ובהגר"א וז"ז לתוספ' פרה פ"ה, לגירסתם בתוספ' שם. ועי' ציון 720, שצריך לנגב, ועי' חזו"א פרה סי' יא ס"ק ז, שאם היה דעתו לחזור ולמלאותו לחטאת א"צ ניגוב, מהסברא שבציון 378, ועי' ציון הבא. ועי' ציון 373, שי"ג בע"א.</w:t>
      </w:r>
    </w:p>
  </w:footnote>
  <w:footnote w:id="350">
    <w:p w14:paraId="1F942D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350</w:t>
      </w:r>
      <w:r>
        <w:rPr>
          <w:rFonts w:ascii="David" w:hAnsi="David" w:cs="David"/>
          <w:sz w:val="24"/>
          <w:szCs w:val="24"/>
          <w:rtl/>
        </w:rPr>
        <w:t xml:space="preserve"> </w:t>
      </w:r>
      <w:r>
        <w:rPr>
          <w:rFonts w:ascii="David" w:hAnsi="David" w:cs="David"/>
          <w:color w:val="000000"/>
          <w:sz w:val="18"/>
          <w:szCs w:val="18"/>
          <w:rtl/>
        </w:rPr>
        <w:t>. מק"ד טהרות סי' נא אות ב, וכן מוכח בר"ש ובהגר"א וז"ז שם. ועי' תוספתא שם לגי' הר"ש שם, שאם חשב לשם שתיה לאחר שמילא לשמה, לרשב"ג (ועי' ציון 373) א"צ לערות (ועי' ציון 127) ולת"ק מערה וחוזר וממלא וא"צ לנגב (ועי' ז"ז שם וחזו"א שם ס"ק ו, שהוא משום שלא פסל מעיקר הדין, ועי' ציון 720, ובבהגר"א שם, שעל מה שבדפני הכלי לא נתכוין לשתות, ועי' ציון 51, ועי' חזו"א שם ס"ק ז, שהיינו כשדעתו לחזור ולמלאות, שאל"כ הסיח דעתו, ועי' ציון הקודם, וע"ש שנקט שלד' הגר"א מה שנתכוין לשתות קודם שהעלהו, פוסל מה"ת, וע"ש בד' רשב"ג, ועי' ציון 313 ואילך), ועי' משנה שבע' הסח הדעת ציון 283, שהחושב לשתות מי חטאת, לר' אליעזר המים פסולים מיד, ולר' יהושע אינם פסולים עד שיטה ע"מ לשתות, וע"ש ציון 284 ואילך, שנחלקו בדין היסה"ד, עי' לעיל ציון 39, ועי' ר"ש שם, שת"ק שבתוספ' שפוסל הוא משום חומרא דרבנן, גזירה משום מחשבה שקודם המילוי, ועי' מק"ד שם, שמה"ת כיון שמילא לשמה, לד"ה אין מחשבה שאח"כ מוציאתם מהכנתם, ושכשהטה לשם שתיה, שמודה ר' יהושע שהוא פסול, מ' שהפסול הוא כעין פסול שלא לשמה, שע"י מעשה לשם שתיה הוא מוציאם מהכנתם לקידוש, וגרוע ממחשבה, ועי' תוי"ט שם פ"ט מ"ד, שלא נפסל אלא באמירה, כמחשבת שלא לשמה, (וע"ע לשמה ציון 126 ואילך, וע' מחשבה בקדשים), וע"ע מחשבה, ועי' חזו"א שם ס"ק ד וי, שע"י מעשה נפסל משום היסה"ד, ועי' חס"ד פרה שם.</w:t>
      </w:r>
    </w:p>
  </w:footnote>
  <w:footnote w:id="351">
    <w:p w14:paraId="12B1BE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351</w:t>
      </w:r>
      <w:r>
        <w:rPr>
          <w:rFonts w:ascii="David" w:hAnsi="David" w:cs="David"/>
          <w:sz w:val="24"/>
          <w:szCs w:val="24"/>
          <w:rtl/>
        </w:rPr>
        <w:t xml:space="preserve"> </w:t>
      </w:r>
      <w:r>
        <w:rPr>
          <w:rFonts w:ascii="David" w:hAnsi="David" w:cs="David"/>
          <w:color w:val="000000"/>
          <w:sz w:val="18"/>
          <w:szCs w:val="18"/>
          <w:rtl/>
        </w:rPr>
        <w:t>. עי' ציון 60 ואילך.</w:t>
      </w:r>
    </w:p>
  </w:footnote>
  <w:footnote w:id="352">
    <w:p w14:paraId="47DC74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352</w:t>
      </w:r>
      <w:r>
        <w:rPr>
          <w:rFonts w:ascii="David" w:hAnsi="David" w:cs="David"/>
          <w:sz w:val="24"/>
          <w:szCs w:val="24"/>
          <w:rtl/>
        </w:rPr>
        <w:t xml:space="preserve"> </w:t>
      </w:r>
      <w:r>
        <w:rPr>
          <w:rFonts w:ascii="David" w:hAnsi="David" w:cs="David"/>
          <w:color w:val="000000"/>
          <w:sz w:val="18"/>
          <w:szCs w:val="18"/>
          <w:rtl/>
        </w:rPr>
        <w:t>. רלב"ג במדבר יט יז. ועי' ציון 369.</w:t>
      </w:r>
    </w:p>
  </w:footnote>
  <w:footnote w:id="353">
    <w:p w14:paraId="6F5E84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353</w:t>
      </w:r>
      <w:r>
        <w:rPr>
          <w:rFonts w:ascii="David" w:hAnsi="David" w:cs="David"/>
          <w:sz w:val="24"/>
          <w:szCs w:val="24"/>
          <w:rtl/>
        </w:rPr>
        <w:t xml:space="preserve"> </w:t>
      </w:r>
      <w:r>
        <w:rPr>
          <w:rFonts w:ascii="David" w:hAnsi="David" w:cs="David"/>
          <w:color w:val="000000"/>
          <w:sz w:val="18"/>
          <w:szCs w:val="18"/>
          <w:rtl/>
        </w:rPr>
        <w:t>. ציון 69 ואילך, וע"ע הסח הדעת ציון 211 ואילך.</w:t>
      </w:r>
    </w:p>
  </w:footnote>
  <w:footnote w:id="354">
    <w:p w14:paraId="18027D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354</w:t>
      </w:r>
      <w:r>
        <w:rPr>
          <w:rFonts w:ascii="David" w:hAnsi="David" w:cs="David"/>
          <w:sz w:val="24"/>
          <w:szCs w:val="24"/>
          <w:rtl/>
        </w:rPr>
        <w:t xml:space="preserve"> </w:t>
      </w:r>
      <w:r>
        <w:rPr>
          <w:rFonts w:ascii="David" w:hAnsi="David" w:cs="David"/>
          <w:color w:val="000000"/>
          <w:sz w:val="18"/>
          <w:szCs w:val="18"/>
          <w:rtl/>
        </w:rPr>
        <w:t>. חזו"א שם סי' ט ס"ק ג, בד' רמב"ם פרה פ"ח ה"ו ופהמ"ש פ"ז מ"ד, אבל הרמב"ם השוה לממלא לו ולאחר, שפסולו הוא משום מלאכה. ועי' ציון 390.</w:t>
      </w:r>
    </w:p>
  </w:footnote>
  <w:footnote w:id="355">
    <w:p w14:paraId="328DFF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355</w:t>
      </w:r>
      <w:r>
        <w:rPr>
          <w:rFonts w:ascii="David" w:hAnsi="David" w:cs="David"/>
          <w:sz w:val="24"/>
          <w:szCs w:val="24"/>
          <w:rtl/>
        </w:rPr>
        <w:t xml:space="preserve"> </w:t>
      </w:r>
      <w:r>
        <w:rPr>
          <w:rFonts w:ascii="David" w:hAnsi="David" w:cs="David"/>
          <w:color w:val="000000"/>
          <w:sz w:val="18"/>
          <w:szCs w:val="18"/>
          <w:rtl/>
        </w:rPr>
        <w:t>. עי' ציון 171 ואילך.</w:t>
      </w:r>
    </w:p>
  </w:footnote>
  <w:footnote w:id="356">
    <w:p w14:paraId="0C7D02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356</w:t>
      </w:r>
      <w:r>
        <w:rPr>
          <w:rFonts w:ascii="David" w:hAnsi="David" w:cs="David"/>
          <w:sz w:val="24"/>
          <w:szCs w:val="24"/>
          <w:rtl/>
        </w:rPr>
        <w:t xml:space="preserve"> </w:t>
      </w:r>
      <w:r>
        <w:rPr>
          <w:rFonts w:ascii="David" w:hAnsi="David" w:cs="David"/>
          <w:color w:val="000000"/>
          <w:sz w:val="18"/>
          <w:szCs w:val="18"/>
          <w:rtl/>
        </w:rPr>
        <w:t>. ציון 181, ועי' ציון 191. ועי' ציון 193, שלד' ר' יהודה קטן כשר למילוי, ועי' ציון 589, שהיינו דוקא בקטן בר דעת. ועי' ציון 198, על טמא.</w:t>
      </w:r>
    </w:p>
  </w:footnote>
  <w:footnote w:id="357">
    <w:p w14:paraId="32D90E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357</w:t>
      </w:r>
      <w:r>
        <w:rPr>
          <w:rFonts w:ascii="David" w:hAnsi="David" w:cs="David"/>
          <w:sz w:val="24"/>
          <w:szCs w:val="24"/>
          <w:rtl/>
        </w:rPr>
        <w:t xml:space="preserve"> </w:t>
      </w:r>
      <w:r>
        <w:rPr>
          <w:rFonts w:ascii="David" w:hAnsi="David" w:cs="David"/>
          <w:color w:val="000000"/>
          <w:sz w:val="18"/>
          <w:szCs w:val="18"/>
          <w:rtl/>
        </w:rPr>
        <w:t>. עי' ראב"ד וחזו"א דלהלן.</w:t>
      </w:r>
    </w:p>
  </w:footnote>
  <w:footnote w:id="358">
    <w:p w14:paraId="4C1EA3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358</w:t>
      </w:r>
      <w:r>
        <w:rPr>
          <w:rFonts w:ascii="David" w:hAnsi="David" w:cs="David"/>
          <w:sz w:val="24"/>
          <w:szCs w:val="24"/>
          <w:rtl/>
        </w:rPr>
        <w:t xml:space="preserve"> </w:t>
      </w:r>
      <w:r>
        <w:rPr>
          <w:rFonts w:ascii="David" w:hAnsi="David" w:cs="David"/>
          <w:color w:val="000000"/>
          <w:sz w:val="18"/>
          <w:szCs w:val="18"/>
          <w:rtl/>
        </w:rPr>
        <w:t>. ראב"ד בהשגות פרה פ"ז הי"א, בביאור תוספ' שם. וע"ש ע"פ תוספ' שם, שאם חשב לשם חטאת כשהיה סמוך למים אין חוששים לכך, אבל צריך לערות ולא לנגב, גזירה משום שאינו סמוך למים (ולרשב"ג א"צ לערות), ועי' ציון 350.</w:t>
      </w:r>
    </w:p>
  </w:footnote>
  <w:footnote w:id="359">
    <w:p w14:paraId="4E73DD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359</w:t>
      </w:r>
      <w:r>
        <w:rPr>
          <w:rFonts w:ascii="David" w:hAnsi="David" w:cs="David"/>
          <w:sz w:val="24"/>
          <w:szCs w:val="24"/>
          <w:rtl/>
        </w:rPr>
        <w:t xml:space="preserve"> </w:t>
      </w:r>
      <w:r>
        <w:rPr>
          <w:rFonts w:ascii="David" w:hAnsi="David" w:cs="David"/>
          <w:color w:val="000000"/>
          <w:sz w:val="18"/>
          <w:szCs w:val="18"/>
          <w:rtl/>
        </w:rPr>
        <w:t>. חזו"א שם ס"ק ח.</w:t>
      </w:r>
    </w:p>
  </w:footnote>
  <w:footnote w:id="360">
    <w:p w14:paraId="4E0E6C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360</w:t>
      </w:r>
      <w:r>
        <w:rPr>
          <w:rFonts w:ascii="David" w:hAnsi="David" w:cs="David"/>
          <w:sz w:val="24"/>
          <w:szCs w:val="24"/>
          <w:rtl/>
        </w:rPr>
        <w:t xml:space="preserve"> </w:t>
      </w:r>
      <w:r>
        <w:rPr>
          <w:rFonts w:ascii="David" w:hAnsi="David" w:cs="David"/>
          <w:color w:val="000000"/>
          <w:sz w:val="18"/>
          <w:szCs w:val="18"/>
          <w:rtl/>
        </w:rPr>
        <w:t>. עי' חזו"א שם.</w:t>
      </w:r>
    </w:p>
  </w:footnote>
  <w:footnote w:id="361">
    <w:p w14:paraId="1A73F00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361</w:t>
      </w:r>
      <w:r>
        <w:rPr>
          <w:rFonts w:ascii="David" w:hAnsi="David" w:cs="David"/>
          <w:sz w:val="24"/>
          <w:szCs w:val="24"/>
          <w:rtl/>
        </w:rPr>
        <w:t xml:space="preserve"> </w:t>
      </w:r>
      <w:r>
        <w:rPr>
          <w:rFonts w:ascii="David" w:hAnsi="David" w:cs="David"/>
          <w:color w:val="000000"/>
          <w:sz w:val="18"/>
          <w:szCs w:val="18"/>
          <w:rtl/>
        </w:rPr>
        <w:t>. עי' חזו"א שם: אפשר.</w:t>
      </w:r>
    </w:p>
  </w:footnote>
  <w:footnote w:id="362">
    <w:p w14:paraId="6CCCBC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362</w:t>
      </w:r>
      <w:r>
        <w:rPr>
          <w:rFonts w:ascii="David" w:hAnsi="David" w:cs="David"/>
          <w:sz w:val="24"/>
          <w:szCs w:val="24"/>
          <w:rtl/>
        </w:rPr>
        <w:t xml:space="preserve"> </w:t>
      </w:r>
      <w:r>
        <w:rPr>
          <w:rFonts w:ascii="David" w:hAnsi="David" w:cs="David"/>
          <w:color w:val="000000"/>
          <w:sz w:val="18"/>
          <w:szCs w:val="18"/>
          <w:rtl/>
        </w:rPr>
        <w:t>. חזו"א שם, בביאור סוף תוספ' שם לד' הראב"ד, שנחלקו בזה ת"ק ורשב"ג (ועי' ציון 373 על ההלכה). ועי' חס"ד שם, שפי' סוף התוספ' שם לד' הראב"ד, כרמב"ם שבציון 281.</w:t>
      </w:r>
    </w:p>
  </w:footnote>
  <w:footnote w:id="363">
    <w:p w14:paraId="05797F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363</w:t>
      </w:r>
      <w:r>
        <w:rPr>
          <w:rFonts w:ascii="David" w:hAnsi="David" w:cs="David"/>
          <w:sz w:val="24"/>
          <w:szCs w:val="24"/>
          <w:rtl/>
        </w:rPr>
        <w:t xml:space="preserve"> </w:t>
      </w:r>
      <w:r>
        <w:rPr>
          <w:rFonts w:ascii="David" w:hAnsi="David" w:cs="David"/>
          <w:color w:val="000000"/>
          <w:sz w:val="18"/>
          <w:szCs w:val="18"/>
          <w:rtl/>
        </w:rPr>
        <w:t>. ציון 124 ואילך.</w:t>
      </w:r>
    </w:p>
  </w:footnote>
  <w:footnote w:id="364">
    <w:p w14:paraId="2127FCD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364</w:t>
      </w:r>
      <w:r>
        <w:rPr>
          <w:rFonts w:ascii="David" w:hAnsi="David" w:cs="David"/>
          <w:sz w:val="24"/>
          <w:szCs w:val="24"/>
          <w:rtl/>
        </w:rPr>
        <w:t xml:space="preserve"> </w:t>
      </w:r>
      <w:r>
        <w:rPr>
          <w:rFonts w:ascii="David" w:hAnsi="David" w:cs="David"/>
          <w:color w:val="000000"/>
          <w:sz w:val="18"/>
          <w:szCs w:val="18"/>
          <w:rtl/>
        </w:rPr>
        <w:t>. עי' משנה ותוספ' שבציון 350, שלא נפסל אחר המילוי, ועי' חזו"א דלהלן.</w:t>
      </w:r>
    </w:p>
  </w:footnote>
  <w:footnote w:id="365">
    <w:p w14:paraId="161B8E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365</w:t>
      </w:r>
      <w:r>
        <w:rPr>
          <w:rFonts w:ascii="David" w:hAnsi="David" w:cs="David"/>
          <w:sz w:val="24"/>
          <w:szCs w:val="24"/>
          <w:rtl/>
        </w:rPr>
        <w:t xml:space="preserve"> </w:t>
      </w:r>
      <w:r>
        <w:rPr>
          <w:rFonts w:ascii="David" w:hAnsi="David" w:cs="David"/>
          <w:color w:val="000000"/>
          <w:sz w:val="18"/>
          <w:szCs w:val="18"/>
          <w:rtl/>
        </w:rPr>
        <w:t>. עי' ציון 124, ועי' ציון 136 שי"ח.</w:t>
      </w:r>
    </w:p>
  </w:footnote>
  <w:footnote w:id="366">
    <w:p w14:paraId="3A2899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366</w:t>
      </w:r>
      <w:r>
        <w:rPr>
          <w:rFonts w:ascii="David" w:hAnsi="David" w:cs="David"/>
          <w:sz w:val="24"/>
          <w:szCs w:val="24"/>
          <w:rtl/>
        </w:rPr>
        <w:t xml:space="preserve"> </w:t>
      </w:r>
      <w:r>
        <w:rPr>
          <w:rFonts w:ascii="David" w:hAnsi="David" w:cs="David"/>
          <w:color w:val="000000"/>
          <w:sz w:val="18"/>
          <w:szCs w:val="18"/>
          <w:rtl/>
        </w:rPr>
        <w:t>. חזו"א פרה סי' ו ס"ק ט. ועי' ציון 56 ואילך, ששימור המים הוא אף אחר מעשה המילוי, (ושם על הזמן הטעון שימור, ושי"ס שאין טעון שימור אלא בשעת עבודה), והיינו משום שאינו דין בעבודת המילוי, ועי' חזו"א שם, שהיסה"ד אינו פוסל את המלאכה, אלא את המים, ועי' ציון 59.</w:t>
      </w:r>
    </w:p>
  </w:footnote>
  <w:footnote w:id="367">
    <w:p w14:paraId="42A3F2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367</w:t>
      </w:r>
      <w:r>
        <w:rPr>
          <w:rFonts w:ascii="David" w:hAnsi="David" w:cs="David"/>
          <w:sz w:val="24"/>
          <w:szCs w:val="24"/>
          <w:rtl/>
        </w:rPr>
        <w:t xml:space="preserve"> </w:t>
      </w:r>
      <w:r>
        <w:rPr>
          <w:rFonts w:ascii="David" w:hAnsi="David" w:cs="David"/>
          <w:color w:val="000000"/>
          <w:sz w:val="18"/>
          <w:szCs w:val="18"/>
          <w:rtl/>
        </w:rPr>
        <w:t>. עי' ציון 352.</w:t>
      </w:r>
    </w:p>
  </w:footnote>
  <w:footnote w:id="368">
    <w:p w14:paraId="26AC46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368</w:t>
      </w:r>
      <w:r>
        <w:rPr>
          <w:rFonts w:ascii="David" w:hAnsi="David" w:cs="David"/>
          <w:sz w:val="24"/>
          <w:szCs w:val="24"/>
          <w:rtl/>
        </w:rPr>
        <w:t xml:space="preserve"> </w:t>
      </w:r>
      <w:r>
        <w:rPr>
          <w:rFonts w:ascii="David" w:hAnsi="David" w:cs="David"/>
          <w:color w:val="000000"/>
          <w:sz w:val="18"/>
          <w:szCs w:val="18"/>
          <w:rtl/>
        </w:rPr>
        <w:t>. עי' ציון 66 ואילך.</w:t>
      </w:r>
    </w:p>
  </w:footnote>
  <w:footnote w:id="369">
    <w:p w14:paraId="3A1B1C6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369</w:t>
      </w:r>
      <w:r>
        <w:rPr>
          <w:rFonts w:ascii="David" w:hAnsi="David" w:cs="David"/>
          <w:sz w:val="24"/>
          <w:szCs w:val="24"/>
          <w:rtl/>
        </w:rPr>
        <w:t xml:space="preserve"> </w:t>
      </w:r>
      <w:r>
        <w:rPr>
          <w:rFonts w:ascii="David" w:hAnsi="David" w:cs="David"/>
          <w:color w:val="000000"/>
          <w:sz w:val="18"/>
          <w:szCs w:val="18"/>
          <w:rtl/>
        </w:rPr>
        <w:t>. רלב"ג במדבר יט יז.</w:t>
      </w:r>
    </w:p>
  </w:footnote>
  <w:footnote w:id="370">
    <w:p w14:paraId="3D1DC0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370</w:t>
      </w:r>
      <w:r>
        <w:rPr>
          <w:rFonts w:ascii="David" w:hAnsi="David" w:cs="David"/>
          <w:sz w:val="24"/>
          <w:szCs w:val="24"/>
          <w:rtl/>
        </w:rPr>
        <w:t xml:space="preserve"> </w:t>
      </w:r>
      <w:r>
        <w:rPr>
          <w:rFonts w:ascii="David" w:hAnsi="David" w:cs="David"/>
          <w:color w:val="000000"/>
          <w:sz w:val="18"/>
          <w:szCs w:val="18"/>
          <w:rtl/>
        </w:rPr>
        <w:t>. עי' ציון 255, ועי' ציון 244 ואילך, שמה"ת לד"ה א"צ למלאות באותו כלי.</w:t>
      </w:r>
    </w:p>
  </w:footnote>
  <w:footnote w:id="371">
    <w:p w14:paraId="3979B4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371</w:t>
      </w:r>
      <w:r>
        <w:rPr>
          <w:rFonts w:ascii="David" w:hAnsi="David" w:cs="David"/>
          <w:sz w:val="24"/>
          <w:szCs w:val="24"/>
          <w:rtl/>
        </w:rPr>
        <w:t xml:space="preserve"> </w:t>
      </w:r>
      <w:r>
        <w:rPr>
          <w:rFonts w:ascii="David" w:hAnsi="David" w:cs="David"/>
          <w:color w:val="000000"/>
          <w:sz w:val="18"/>
          <w:szCs w:val="18"/>
          <w:rtl/>
        </w:rPr>
        <w:t>. רלב"ג במדבר יט יז, וכ"נ בשמ"ק שבציון 266, ועי' ציון 249.</w:t>
      </w:r>
    </w:p>
  </w:footnote>
  <w:footnote w:id="372">
    <w:p w14:paraId="0D0649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372</w:t>
      </w:r>
      <w:r>
        <w:rPr>
          <w:rFonts w:ascii="David" w:hAnsi="David" w:cs="David"/>
          <w:sz w:val="24"/>
          <w:szCs w:val="24"/>
          <w:rtl/>
        </w:rPr>
        <w:t xml:space="preserve"> </w:t>
      </w:r>
      <w:r>
        <w:rPr>
          <w:rFonts w:ascii="David" w:hAnsi="David" w:cs="David"/>
          <w:color w:val="000000"/>
          <w:sz w:val="18"/>
          <w:szCs w:val="18"/>
          <w:rtl/>
        </w:rPr>
        <w:t>. רלב"ג שם. ועי' ציון 141.</w:t>
      </w:r>
    </w:p>
  </w:footnote>
  <w:footnote w:id="373">
    <w:p w14:paraId="453DE24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373</w:t>
      </w:r>
      <w:r>
        <w:rPr>
          <w:rFonts w:ascii="David" w:hAnsi="David" w:cs="David"/>
          <w:sz w:val="24"/>
          <w:szCs w:val="24"/>
          <w:rtl/>
        </w:rPr>
        <w:t xml:space="preserve"> </w:t>
      </w:r>
      <w:r>
        <w:rPr>
          <w:rFonts w:ascii="David" w:hAnsi="David" w:cs="David"/>
          <w:color w:val="000000"/>
          <w:sz w:val="18"/>
          <w:szCs w:val="18"/>
          <w:rtl/>
        </w:rPr>
        <w:t>. רמב"ם פרה פ"ז הי"א, ועי' כס"מ שם ומנחת בכורים וחס"ד פרה פ"ה וחזו"א פרה סי' יא ס"ק ח, שכן גי' הרמב"ם בתוספתא שם (ושם שרשב"ג סובר שא"צ לערות, ועי' ראב"ד וכס"מ שם, וע' הלכה: כל מקום ששנה רשב"ג, ושם ציון 695 ואילך), ולא כגי' הר"ש דלעיל ציון 349, שלדעתו הוא כשמילא לשם מי חטאת ונמלך לשתייה, ועי' מרכה"מ שם, שהרמב"ם לא גרס כן בתוספ', אלא למד כן מסברא, עי' ציון הבא, ועי' חס"ד שם שדחה. ועי' רמב"ם שם (ע"פ תוספ' שם), שאם נמלך אחר שהגיע הכלי למים (ועי' חזו"א שבציון 124, שמבואר שהמילוי הוא בהגעה למים), צריך לנגב את הכלי קודם שימלא בו, ועי' ציון 720, ועי' ציון הבא.</w:t>
      </w:r>
    </w:p>
  </w:footnote>
  <w:footnote w:id="374">
    <w:p w14:paraId="721E9B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374</w:t>
      </w:r>
      <w:r>
        <w:rPr>
          <w:rFonts w:ascii="David" w:hAnsi="David" w:cs="David"/>
          <w:sz w:val="24"/>
          <w:szCs w:val="24"/>
          <w:rtl/>
        </w:rPr>
        <w:t xml:space="preserve"> </w:t>
      </w:r>
      <w:r>
        <w:rPr>
          <w:rFonts w:ascii="David" w:hAnsi="David" w:cs="David"/>
          <w:color w:val="000000"/>
          <w:sz w:val="18"/>
          <w:szCs w:val="18"/>
          <w:rtl/>
        </w:rPr>
        <w:t>. מרכה"מ שם, וכעי"ז בחזו"א שם. וע"ש בתוספתא שהיא מדברת באופן שנמלך כשכבר אינו יכול לעצור את הכלי, וצ"ב אם באופן שצריך עדיין את כוחו, יוכשר במעשה ההושטה שיש מאז שנמלך עד שהגיע הכלי למים. ועי' חזו"א שם, שמטעם זה א"צ לנגב המים שנותרו בכלי הראשון, ואינם פוסלים את שאר המים. ועי' ציונים 136, 281, שכ"ה לד' הרמב"ם אף בנפסק החבל.</w:t>
      </w:r>
    </w:p>
  </w:footnote>
  <w:footnote w:id="375">
    <w:p w14:paraId="1B416C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375</w:t>
      </w:r>
      <w:r>
        <w:rPr>
          <w:rFonts w:ascii="David" w:hAnsi="David" w:cs="David"/>
          <w:sz w:val="24"/>
          <w:szCs w:val="24"/>
          <w:rtl/>
        </w:rPr>
        <w:t xml:space="preserve"> </w:t>
      </w:r>
      <w:r>
        <w:rPr>
          <w:rFonts w:ascii="David" w:hAnsi="David" w:cs="David"/>
          <w:color w:val="000000"/>
          <w:sz w:val="18"/>
          <w:szCs w:val="18"/>
          <w:rtl/>
        </w:rPr>
        <w:t>. ציון 349 ואילך.</w:t>
      </w:r>
    </w:p>
  </w:footnote>
  <w:footnote w:id="376">
    <w:p w14:paraId="37F7B78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376</w:t>
      </w:r>
      <w:r>
        <w:rPr>
          <w:rFonts w:ascii="David" w:hAnsi="David" w:cs="David"/>
          <w:sz w:val="24"/>
          <w:szCs w:val="24"/>
          <w:rtl/>
        </w:rPr>
        <w:t xml:space="preserve"> </w:t>
      </w:r>
      <w:r>
        <w:rPr>
          <w:rFonts w:ascii="David" w:hAnsi="David" w:cs="David"/>
          <w:color w:val="000000"/>
          <w:sz w:val="18"/>
          <w:szCs w:val="18"/>
          <w:rtl/>
        </w:rPr>
        <w:t>. עי' ציון 208 ואילך, שכלי טמא פסול.</w:t>
      </w:r>
    </w:p>
  </w:footnote>
  <w:footnote w:id="377">
    <w:p w14:paraId="3548CC0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377</w:t>
      </w:r>
      <w:r>
        <w:rPr>
          <w:rFonts w:ascii="David" w:hAnsi="David" w:cs="David"/>
          <w:sz w:val="24"/>
          <w:szCs w:val="24"/>
          <w:rtl/>
        </w:rPr>
        <w:t xml:space="preserve"> </w:t>
      </w:r>
      <w:r>
        <w:rPr>
          <w:rFonts w:ascii="David" w:hAnsi="David" w:cs="David"/>
          <w:color w:val="000000"/>
          <w:sz w:val="18"/>
          <w:szCs w:val="18"/>
          <w:rtl/>
        </w:rPr>
        <w:t>. עי' ציון 720 ואילך.</w:t>
      </w:r>
    </w:p>
  </w:footnote>
  <w:footnote w:id="378">
    <w:p w14:paraId="44C8DA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378</w:t>
      </w:r>
      <w:r>
        <w:rPr>
          <w:rFonts w:ascii="David" w:hAnsi="David" w:cs="David"/>
          <w:sz w:val="24"/>
          <w:szCs w:val="24"/>
          <w:rtl/>
        </w:rPr>
        <w:t xml:space="preserve"> </w:t>
      </w:r>
      <w:r>
        <w:rPr>
          <w:rFonts w:ascii="David" w:hAnsi="David" w:cs="David"/>
          <w:color w:val="000000"/>
          <w:sz w:val="18"/>
          <w:szCs w:val="18"/>
          <w:rtl/>
        </w:rPr>
        <w:t>. עי' א"ר פרה פ"ה מ"ב ותפא"י שם, בפי' משנה שם (ורמב"ם פרה פ"ט ה"ט): המטביל וכו' אינו צריך לנגב, וכעי"ז בדעת יוסף שם. ועי' ציון 387. ועי' מים טהורים שם. ועי' חזו"א פרה סי' יא ס"ק ט, שתמה, שאי"ז חשוב כוונה אלא מטעם ברירה, ע"ע, ודוקא לסוברים יש ברירה, וע"ש שצידד ליישב בכמה אופנים, ועי' להלן, וע"ש תמיהה נוספת, עי' ציון 208, ופי' המשנה באופ"א.</w:t>
      </w:r>
    </w:p>
  </w:footnote>
  <w:footnote w:id="379">
    <w:p w14:paraId="688385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379</w:t>
      </w:r>
      <w:r>
        <w:rPr>
          <w:rFonts w:ascii="David" w:hAnsi="David" w:cs="David"/>
          <w:sz w:val="24"/>
          <w:szCs w:val="24"/>
          <w:rtl/>
        </w:rPr>
        <w:t xml:space="preserve"> </w:t>
      </w:r>
      <w:r>
        <w:rPr>
          <w:rFonts w:ascii="David" w:hAnsi="David" w:cs="David"/>
          <w:color w:val="000000"/>
          <w:sz w:val="18"/>
          <w:szCs w:val="18"/>
          <w:rtl/>
        </w:rPr>
        <w:t>. חזו"א שם, לד' זו, וע"ש שלפ"ז מן הדין מועיל אף במים שאין ראויים לקידוש, אלא שחכמים החמירו. וצידד עוד שכיון שמה"ת בטל ברוב, עי' ציון 710 ואילך, הקילו במים הראויים, והק' מתוספ' פ"ה שבציון 720.</w:t>
      </w:r>
    </w:p>
  </w:footnote>
  <w:footnote w:id="380">
    <w:p w14:paraId="18A62DD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380</w:t>
      </w:r>
      <w:r>
        <w:rPr>
          <w:rFonts w:ascii="David" w:hAnsi="David" w:cs="David"/>
          <w:sz w:val="24"/>
          <w:szCs w:val="24"/>
          <w:rtl/>
        </w:rPr>
        <w:t xml:space="preserve"> </w:t>
      </w:r>
      <w:r>
        <w:rPr>
          <w:rFonts w:ascii="David" w:hAnsi="David" w:cs="David"/>
          <w:color w:val="000000"/>
          <w:sz w:val="18"/>
          <w:szCs w:val="18"/>
          <w:rtl/>
        </w:rPr>
        <w:t>. ערוך ע' קרויה; תפא"י שם מ"ג אות טז. וע"ע כלים ציון 92 ואילך, באיזה אופן כלי מדלעת דינו ככלי, ועי' תפא"י שם אות יט וחזו"א שם ס"ק י.</w:t>
      </w:r>
    </w:p>
  </w:footnote>
  <w:footnote w:id="381">
    <w:p w14:paraId="3A39418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381</w:t>
      </w:r>
      <w:r>
        <w:rPr>
          <w:rFonts w:ascii="David" w:hAnsi="David" w:cs="David"/>
          <w:sz w:val="24"/>
          <w:szCs w:val="24"/>
          <w:rtl/>
        </w:rPr>
        <w:t xml:space="preserve"> </w:t>
      </w:r>
      <w:r>
        <w:rPr>
          <w:rFonts w:ascii="David" w:hAnsi="David" w:cs="David"/>
          <w:color w:val="000000"/>
          <w:sz w:val="18"/>
          <w:szCs w:val="18"/>
          <w:rtl/>
        </w:rPr>
        <w:t>. עי' פהמ"ש לרמב"ם ואגודה ותו"ח פרה שם, ועי' משנ"א שם ותפא"י שם אות יח.</w:t>
      </w:r>
    </w:p>
  </w:footnote>
  <w:footnote w:id="382">
    <w:p w14:paraId="4192FF1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382</w:t>
      </w:r>
      <w:r>
        <w:rPr>
          <w:rFonts w:ascii="David" w:hAnsi="David" w:cs="David"/>
          <w:sz w:val="24"/>
          <w:szCs w:val="24"/>
          <w:rtl/>
        </w:rPr>
        <w:t xml:space="preserve"> </w:t>
      </w:r>
      <w:r>
        <w:rPr>
          <w:rFonts w:ascii="David" w:hAnsi="David" w:cs="David"/>
          <w:color w:val="000000"/>
          <w:sz w:val="18"/>
          <w:szCs w:val="18"/>
          <w:rtl/>
        </w:rPr>
        <w:t>. עי' ציון 774 ואילך.</w:t>
      </w:r>
    </w:p>
  </w:footnote>
  <w:footnote w:id="383">
    <w:p w14:paraId="3F5171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383</w:t>
      </w:r>
      <w:r>
        <w:rPr>
          <w:rFonts w:ascii="David" w:hAnsi="David" w:cs="David"/>
          <w:sz w:val="24"/>
          <w:szCs w:val="24"/>
          <w:rtl/>
        </w:rPr>
        <w:t xml:space="preserve"> </w:t>
      </w:r>
      <w:r>
        <w:rPr>
          <w:rFonts w:ascii="David" w:hAnsi="David" w:cs="David"/>
          <w:color w:val="000000"/>
          <w:sz w:val="18"/>
          <w:szCs w:val="18"/>
          <w:rtl/>
        </w:rPr>
        <w:t>. עי' תפא"י שם אות יח וכב, בפי' משנה שם, וגרס במשנה כגי' הרמב"ם שבציון 790, (וצ"ב אם כן אף ד' הרמב"ם, או שמפרש שמים הראויים לקדש, היינו כשטבלה לשם מילוי), ועי' ציון 778, שי"ג בע"א.</w:t>
      </w:r>
    </w:p>
  </w:footnote>
  <w:footnote w:id="384">
    <w:p w14:paraId="327622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384</w:t>
      </w:r>
      <w:r>
        <w:rPr>
          <w:rFonts w:ascii="David" w:hAnsi="David" w:cs="David"/>
          <w:sz w:val="24"/>
          <w:szCs w:val="24"/>
          <w:rtl/>
        </w:rPr>
        <w:t xml:space="preserve"> </w:t>
      </w:r>
      <w:r>
        <w:rPr>
          <w:rFonts w:ascii="David" w:hAnsi="David" w:cs="David"/>
          <w:color w:val="000000"/>
          <w:sz w:val="18"/>
          <w:szCs w:val="18"/>
          <w:rtl/>
        </w:rPr>
        <w:t>. עי' ציון 709 ואילך.</w:t>
      </w:r>
    </w:p>
  </w:footnote>
  <w:footnote w:id="385">
    <w:p w14:paraId="790AC1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385</w:t>
      </w:r>
      <w:r>
        <w:rPr>
          <w:rFonts w:ascii="David" w:hAnsi="David" w:cs="David"/>
          <w:sz w:val="24"/>
          <w:szCs w:val="24"/>
          <w:rtl/>
        </w:rPr>
        <w:t xml:space="preserve"> </w:t>
      </w:r>
      <w:r>
        <w:rPr>
          <w:rFonts w:ascii="David" w:hAnsi="David" w:cs="David"/>
          <w:color w:val="000000"/>
          <w:sz w:val="18"/>
          <w:szCs w:val="18"/>
          <w:rtl/>
        </w:rPr>
        <w:t>. עי' תפא"י שם ושם.</w:t>
      </w:r>
    </w:p>
  </w:footnote>
  <w:footnote w:id="386">
    <w:p w14:paraId="2CA327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386</w:t>
      </w:r>
      <w:r>
        <w:rPr>
          <w:rFonts w:ascii="David" w:hAnsi="David" w:cs="David"/>
          <w:sz w:val="24"/>
          <w:szCs w:val="24"/>
          <w:rtl/>
        </w:rPr>
        <w:t xml:space="preserve"> </w:t>
      </w:r>
      <w:r>
        <w:rPr>
          <w:rFonts w:ascii="David" w:hAnsi="David" w:cs="David"/>
          <w:color w:val="000000"/>
          <w:sz w:val="18"/>
          <w:szCs w:val="18"/>
          <w:rtl/>
        </w:rPr>
        <w:t>. ציונים 698, 798.</w:t>
      </w:r>
    </w:p>
  </w:footnote>
  <w:footnote w:id="387">
    <w:p w14:paraId="0A3A04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387</w:t>
      </w:r>
      <w:r>
        <w:rPr>
          <w:rFonts w:ascii="David" w:hAnsi="David" w:cs="David"/>
          <w:sz w:val="24"/>
          <w:szCs w:val="24"/>
          <w:rtl/>
        </w:rPr>
        <w:t xml:space="preserve"> </w:t>
      </w:r>
      <w:r>
        <w:rPr>
          <w:rFonts w:ascii="David" w:hAnsi="David" w:cs="David"/>
          <w:color w:val="000000"/>
          <w:sz w:val="18"/>
          <w:szCs w:val="18"/>
          <w:rtl/>
        </w:rPr>
        <w:t>. תפא"י שם ושם. וצ"ב שבשאר כלים, ד' התפא"י שא"צ לנגב, עי' ציון 378.</w:t>
      </w:r>
    </w:p>
  </w:footnote>
  <w:footnote w:id="388">
    <w:p w14:paraId="6ECCF6A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388</w:t>
      </w:r>
      <w:r>
        <w:rPr>
          <w:rFonts w:ascii="David" w:hAnsi="David" w:cs="David"/>
          <w:sz w:val="24"/>
          <w:szCs w:val="24"/>
          <w:rtl/>
        </w:rPr>
        <w:t xml:space="preserve"> </w:t>
      </w:r>
      <w:r>
        <w:rPr>
          <w:rFonts w:ascii="David" w:hAnsi="David" w:cs="David"/>
          <w:color w:val="000000"/>
          <w:sz w:val="18"/>
          <w:szCs w:val="18"/>
          <w:rtl/>
        </w:rPr>
        <w:t>. תפא"י שם אות כא. וצ"ב אם חולק אף בציון 378, ועי' ציון הקודם, ואפשר שאין דעת אדם על מים הבלועים בקרויה. ועי' ציון 795, שי"מ ד' ר"י בע"א.</w:t>
      </w:r>
    </w:p>
  </w:footnote>
  <w:footnote w:id="389">
    <w:p w14:paraId="481F3A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389</w:t>
      </w:r>
      <w:r>
        <w:rPr>
          <w:rFonts w:ascii="David" w:hAnsi="David" w:cs="David"/>
          <w:sz w:val="24"/>
          <w:szCs w:val="24"/>
          <w:rtl/>
        </w:rPr>
        <w:t xml:space="preserve"> </w:t>
      </w:r>
      <w:r>
        <w:rPr>
          <w:rFonts w:ascii="David" w:hAnsi="David" w:cs="David"/>
          <w:color w:val="000000"/>
          <w:sz w:val="18"/>
          <w:szCs w:val="18"/>
          <w:rtl/>
        </w:rPr>
        <w:t>. קדושין נח ב ובכורות כט א. וע"ע קדושין, שהמקדש ב"שכר קידוש והזאה", שאסור ליטול על זה שכר, עי' ציון הבא, אינה מקודשת, ושם בטעם הדבר. ועי' רמב"ם וראב"ד אישות פ"ה ה"ג, ופהמ"ש לרמב"ם קדושין שם מ"י ורשב"א קדושין שם א ומאירי שם נו ב ותוס' ר"י הזקן (ר"א מן ההר) ופרי"ד ומקנה שם נח ב, ורמ"ך ומ"מ ובני אהובה וקרית מלך רב ומרכה"מ וצ"פ ותפארת מנחם אישות שם. ועי' גיטין נג א וב"ק צח א, שמבואר שהמזיק מי חטאת חייב, ועי' גאון בשמ"ק ב"ק שם.</w:t>
      </w:r>
    </w:p>
  </w:footnote>
  <w:footnote w:id="390">
    <w:p w14:paraId="710CDA3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390</w:t>
      </w:r>
      <w:r>
        <w:rPr>
          <w:rFonts w:ascii="David" w:hAnsi="David" w:cs="David"/>
          <w:sz w:val="24"/>
          <w:szCs w:val="24"/>
          <w:rtl/>
        </w:rPr>
        <w:t xml:space="preserve"> </w:t>
      </w:r>
      <w:r>
        <w:rPr>
          <w:rFonts w:ascii="David" w:hAnsi="David" w:cs="David"/>
          <w:color w:val="000000"/>
          <w:sz w:val="18"/>
          <w:szCs w:val="18"/>
          <w:rtl/>
        </w:rPr>
        <w:t>. עי' ציון 675 ואילך. קדושין ובכורות שם; רמב"ם פרה פ"ז ה"ב. ועי' חזו"א פרה סי' ט ס"ק ג, לשיטתו בציון 354, שלד' הרמב"ם אין כשר אלא כשהקדים לו שכרו, ולא כשזוכה בו בשעת המילוי, והוכיח לא כן, וע"ש ס"ק ה בד' הראב"ד.</w:t>
      </w:r>
    </w:p>
  </w:footnote>
  <w:footnote w:id="391">
    <w:p w14:paraId="151C50F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391</w:t>
      </w:r>
      <w:r>
        <w:rPr>
          <w:rFonts w:ascii="David" w:hAnsi="David" w:cs="David"/>
          <w:sz w:val="24"/>
          <w:szCs w:val="24"/>
          <w:rtl/>
        </w:rPr>
        <w:t xml:space="preserve"> </w:t>
      </w:r>
      <w:r>
        <w:rPr>
          <w:rFonts w:ascii="David" w:hAnsi="David" w:cs="David"/>
          <w:color w:val="000000"/>
          <w:sz w:val="18"/>
          <w:szCs w:val="18"/>
          <w:rtl/>
        </w:rPr>
        <w:t>. ע"ע תלמוד תורה. עי' להלן ציון 676 ואילך.</w:t>
      </w:r>
    </w:p>
  </w:footnote>
  <w:footnote w:id="392">
    <w:p w14:paraId="7A59E2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392</w:t>
      </w:r>
      <w:r>
        <w:rPr>
          <w:rFonts w:ascii="David" w:hAnsi="David" w:cs="David"/>
          <w:sz w:val="24"/>
          <w:szCs w:val="24"/>
          <w:rtl/>
        </w:rPr>
        <w:t xml:space="preserve"> </w:t>
      </w:r>
      <w:r>
        <w:rPr>
          <w:rFonts w:ascii="David" w:hAnsi="David" w:cs="David"/>
          <w:color w:val="000000"/>
          <w:sz w:val="18"/>
          <w:szCs w:val="18"/>
          <w:rtl/>
        </w:rPr>
        <w:t>. רש"י קדושין שם ד"ה בשכר, ורבנו חננאל בן שמואל שם, וכעי"ז בנ"י שם א. ואולי הכוונה, שהקידוש שהוא הכשר מצוה שאין בו טורח, חשוב חלק מהמצוה, ולכך הוא מוטל עליו.</w:t>
      </w:r>
    </w:p>
  </w:footnote>
  <w:footnote w:id="393">
    <w:p w14:paraId="655F981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393</w:t>
      </w:r>
      <w:r>
        <w:rPr>
          <w:rFonts w:ascii="David" w:hAnsi="David" w:cs="David"/>
          <w:sz w:val="24"/>
          <w:szCs w:val="24"/>
          <w:rtl/>
        </w:rPr>
        <w:t xml:space="preserve"> </w:t>
      </w:r>
      <w:r>
        <w:rPr>
          <w:rFonts w:ascii="David" w:hAnsi="David" w:cs="David"/>
          <w:color w:val="000000"/>
          <w:sz w:val="18"/>
          <w:szCs w:val="18"/>
          <w:rtl/>
        </w:rPr>
        <w:t>. רש"י בכורות שם ד"ה ושכר; עי' ריטב"א קדושין שם ב; פרי"ד שם. ועי' ציון הבא. ועי' בית מאיר או"ח סי' תקפה ושד"ח מע' ר"ה סי' ב אות יז.</w:t>
      </w:r>
    </w:p>
  </w:footnote>
  <w:footnote w:id="394">
    <w:p w14:paraId="1F5B53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394</w:t>
      </w:r>
      <w:r>
        <w:rPr>
          <w:rFonts w:ascii="David" w:hAnsi="David" w:cs="David"/>
          <w:sz w:val="24"/>
          <w:szCs w:val="24"/>
          <w:rtl/>
        </w:rPr>
        <w:t xml:space="preserve"> </w:t>
      </w:r>
      <w:r>
        <w:rPr>
          <w:rFonts w:ascii="David" w:hAnsi="David" w:cs="David"/>
          <w:color w:val="000000"/>
          <w:sz w:val="18"/>
          <w:szCs w:val="18"/>
          <w:rtl/>
        </w:rPr>
        <w:t>. תוס' ר"י הזקן קדושין שם; עי' שו"ת רשב"ש סי' תעד, וע"ש שכ' אף את הטעם שבציון הקודם, ומ' שלדעתו הוא טעם אחד, שכיון שאינו עיקר המצוה, נמצא שאינו נוטל אלא טרחו. ועי' ציון 138, שי"ס שהמילוי הוא חלק מעבודת הקידוש.</w:t>
      </w:r>
    </w:p>
  </w:footnote>
  <w:footnote w:id="395">
    <w:p w14:paraId="0DAE5D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395</w:t>
      </w:r>
      <w:r>
        <w:rPr>
          <w:rFonts w:ascii="David" w:hAnsi="David" w:cs="David"/>
          <w:sz w:val="24"/>
          <w:szCs w:val="24"/>
          <w:rtl/>
        </w:rPr>
        <w:t xml:space="preserve"> </w:t>
      </w:r>
      <w:r>
        <w:rPr>
          <w:rFonts w:ascii="David" w:hAnsi="David" w:cs="David"/>
          <w:color w:val="000000"/>
          <w:sz w:val="18"/>
          <w:szCs w:val="18"/>
          <w:rtl/>
        </w:rPr>
        <w:t>. ציון 675 ואילך.</w:t>
      </w:r>
    </w:p>
  </w:footnote>
  <w:footnote w:id="396">
    <w:p w14:paraId="753FDB0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396</w:t>
      </w:r>
      <w:r>
        <w:rPr>
          <w:rFonts w:ascii="David" w:hAnsi="David" w:cs="David"/>
          <w:sz w:val="24"/>
          <w:szCs w:val="24"/>
          <w:rtl/>
        </w:rPr>
        <w:t xml:space="preserve"> </w:t>
      </w:r>
      <w:r>
        <w:rPr>
          <w:rFonts w:ascii="David" w:hAnsi="David" w:cs="David"/>
          <w:color w:val="000000"/>
          <w:sz w:val="18"/>
          <w:szCs w:val="18"/>
          <w:rtl/>
        </w:rPr>
        <w:t>. עי' משנה תמורה יב א וגמ' דלהלן בביאורה; עי' סוטה טז ב ותמורה שם ב; רמב"ם פרה פ"ט ה"א. ועי' ציון 405 ואילך, כשנתן האפר תחילה. ועי' תוספ' פרה פ"ד, שאין מקדשים עד שתעשה אפר, ועי' ציון 142, שהרבה גורסים שאף אין ממלאים המים עד שתעשה אפר.</w:t>
      </w:r>
    </w:p>
  </w:footnote>
  <w:footnote w:id="397">
    <w:p w14:paraId="2DC352A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397</w:t>
      </w:r>
      <w:r>
        <w:rPr>
          <w:rFonts w:ascii="David" w:hAnsi="David" w:cs="David"/>
          <w:sz w:val="24"/>
          <w:szCs w:val="24"/>
          <w:rtl/>
        </w:rPr>
        <w:t xml:space="preserve"> </w:t>
      </w:r>
      <w:r>
        <w:rPr>
          <w:rFonts w:ascii="David" w:hAnsi="David" w:cs="David"/>
          <w:color w:val="000000"/>
          <w:sz w:val="18"/>
          <w:szCs w:val="18"/>
          <w:rtl/>
        </w:rPr>
        <w:t>. רמב"ם שם פ"ו ה"א; החינוך מ' שצט.</w:t>
      </w:r>
    </w:p>
  </w:footnote>
  <w:footnote w:id="398">
    <w:p w14:paraId="394664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398</w:t>
      </w:r>
      <w:r>
        <w:rPr>
          <w:rFonts w:ascii="David" w:hAnsi="David" w:cs="David"/>
          <w:sz w:val="24"/>
          <w:szCs w:val="24"/>
          <w:rtl/>
        </w:rPr>
        <w:t xml:space="preserve"> </w:t>
      </w:r>
      <w:r>
        <w:rPr>
          <w:rFonts w:ascii="David" w:hAnsi="David" w:cs="David"/>
          <w:color w:val="000000"/>
          <w:sz w:val="18"/>
          <w:szCs w:val="18"/>
          <w:rtl/>
        </w:rPr>
        <w:t>. במדבר יט יז. עי' סוטה ותמורה שם.</w:t>
      </w:r>
    </w:p>
  </w:footnote>
  <w:footnote w:id="399">
    <w:p w14:paraId="5C8587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399</w:t>
      </w:r>
      <w:r>
        <w:rPr>
          <w:rFonts w:ascii="David" w:hAnsi="David" w:cs="David"/>
          <w:sz w:val="24"/>
          <w:szCs w:val="24"/>
          <w:rtl/>
        </w:rPr>
        <w:t xml:space="preserve"> </w:t>
      </w:r>
      <w:r>
        <w:rPr>
          <w:rFonts w:ascii="David" w:hAnsi="David" w:cs="David"/>
          <w:color w:val="000000"/>
          <w:sz w:val="18"/>
          <w:szCs w:val="18"/>
          <w:rtl/>
        </w:rPr>
        <w:t>. עי' משנה וגמ' תמורה שם, לגי' רש"י שם, ועי' ציון 417, ושם שי"ג בע"א.</w:t>
      </w:r>
    </w:p>
  </w:footnote>
  <w:footnote w:id="400">
    <w:p w14:paraId="09BD3D4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400</w:t>
      </w:r>
      <w:r>
        <w:rPr>
          <w:rFonts w:ascii="David" w:hAnsi="David" w:cs="David"/>
          <w:sz w:val="24"/>
          <w:szCs w:val="24"/>
          <w:rtl/>
        </w:rPr>
        <w:t xml:space="preserve"> </w:t>
      </w:r>
      <w:r>
        <w:rPr>
          <w:rFonts w:ascii="David" w:hAnsi="David" w:cs="David"/>
          <w:color w:val="000000"/>
          <w:sz w:val="18"/>
          <w:szCs w:val="18"/>
          <w:rtl/>
        </w:rPr>
        <w:t>. תוספתא פרה פ"ד, הובאה בפהמ"ש לרמב"ם ור"ש ורא"ש ורע"ב פרה פ"ד מ"ד; יומא מב ב; רמב"ם שם ה"ב.</w:t>
      </w:r>
    </w:p>
  </w:footnote>
  <w:footnote w:id="401">
    <w:p w14:paraId="3BE4E2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401</w:t>
      </w:r>
      <w:r>
        <w:rPr>
          <w:rFonts w:ascii="David" w:hAnsi="David" w:cs="David"/>
          <w:sz w:val="24"/>
          <w:szCs w:val="24"/>
          <w:rtl/>
        </w:rPr>
        <w:t xml:space="preserve"> </w:t>
      </w:r>
      <w:r>
        <w:rPr>
          <w:rFonts w:ascii="David" w:hAnsi="David" w:cs="David"/>
          <w:color w:val="000000"/>
          <w:sz w:val="18"/>
          <w:szCs w:val="18"/>
          <w:rtl/>
        </w:rPr>
        <w:t>. ע"ע הזאה (ב) ציון 214 ואילך.</w:t>
      </w:r>
    </w:p>
  </w:footnote>
  <w:footnote w:id="402">
    <w:p w14:paraId="56CC5F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402</w:t>
      </w:r>
      <w:r>
        <w:rPr>
          <w:rFonts w:ascii="David" w:hAnsi="David" w:cs="David"/>
          <w:sz w:val="24"/>
          <w:szCs w:val="24"/>
          <w:rtl/>
        </w:rPr>
        <w:t xml:space="preserve"> </w:t>
      </w:r>
      <w:r>
        <w:rPr>
          <w:rFonts w:ascii="David" w:hAnsi="David" w:cs="David"/>
          <w:color w:val="000000"/>
          <w:sz w:val="18"/>
          <w:szCs w:val="18"/>
          <w:rtl/>
        </w:rPr>
        <w:t>. ציון 160.</w:t>
      </w:r>
    </w:p>
  </w:footnote>
  <w:footnote w:id="403">
    <w:p w14:paraId="7976A6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403</w:t>
      </w:r>
      <w:r>
        <w:rPr>
          <w:rFonts w:ascii="David" w:hAnsi="David" w:cs="David"/>
          <w:sz w:val="24"/>
          <w:szCs w:val="24"/>
          <w:rtl/>
        </w:rPr>
        <w:t xml:space="preserve"> </w:t>
      </w:r>
      <w:r>
        <w:rPr>
          <w:rFonts w:ascii="David" w:hAnsi="David" w:cs="David"/>
          <w:color w:val="000000"/>
          <w:sz w:val="18"/>
          <w:szCs w:val="18"/>
          <w:rtl/>
        </w:rPr>
        <w:t>. ערה"ש פרה סי' סח ס"ג. וע"ע ברכת המצוות ציון 24, שמצוה שאין עשייתה גמר חיובה אין מברכים עליה, (ושם ציונים 25, 27, שי"ח, וציון 26 שאין הלכה כמותם).</w:t>
      </w:r>
    </w:p>
  </w:footnote>
  <w:footnote w:id="404">
    <w:p w14:paraId="57EEBE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404</w:t>
      </w:r>
      <w:r>
        <w:rPr>
          <w:rFonts w:ascii="David" w:hAnsi="David" w:cs="David"/>
          <w:sz w:val="24"/>
          <w:szCs w:val="24"/>
          <w:rtl/>
        </w:rPr>
        <w:t xml:space="preserve"> </w:t>
      </w:r>
      <w:r>
        <w:rPr>
          <w:rFonts w:ascii="David" w:hAnsi="David" w:cs="David"/>
          <w:color w:val="000000"/>
          <w:sz w:val="18"/>
          <w:szCs w:val="18"/>
          <w:rtl/>
        </w:rPr>
        <w:t>. שפ"א תמורה יב ב. וע"ש שמסתימת ברייתא סוטה טז ב ותמורה שם: הקדים עפר למים פסול, מ' שאין להם תקנה. וצ"ב מדוע לא יפסלו המים מטעם חציצה בשעת מילוי, עי' ציון 214 ואילך. וצ"ב לצד שמועיל נתינת אפר, למה לא יועיל שישפוך הכל לכלי אחר, וצ"ל שנתינת המים והאפר בב"א אינה מועילה, ועי' ציון 438 ואילך וציון הבא.</w:t>
      </w:r>
    </w:p>
  </w:footnote>
  <w:footnote w:id="405">
    <w:p w14:paraId="7D0A08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405</w:t>
      </w:r>
      <w:r>
        <w:rPr>
          <w:rFonts w:ascii="David" w:hAnsi="David" w:cs="David"/>
          <w:sz w:val="24"/>
          <w:szCs w:val="24"/>
          <w:rtl/>
        </w:rPr>
        <w:t xml:space="preserve"> </w:t>
      </w:r>
      <w:r>
        <w:rPr>
          <w:rFonts w:ascii="David" w:hAnsi="David" w:cs="David"/>
          <w:color w:val="000000"/>
          <w:sz w:val="18"/>
          <w:szCs w:val="18"/>
          <w:rtl/>
        </w:rPr>
        <w:t>. סוטה ותמורה שם. וע"ש שנחלקו כן אף לענין מי סוטה שנותנים בהם עפר, וע"ע סוטה, ועי' להלן. ועי' ציונים 438, 662, על נתינת המים והאפר בב"א לר"ש (ועי' ציון הקודם לחכמים), וציונים 438, 633, על חלק מהמים קודם האפר, וחלק אח"כ. ועי' רש"י יומא מב א ד"ה ומילוי וד"ה לקידוש ושם מג א ד"ה לקדש, שנותנים המים על האפר, ועי' תוס' שם ד"ה הכל, שתמהו, ועי' מהרש"א שם שהוא לד' ר"ש, ועי' משמרות כהונה תמורה שם ובית ישחק פרה פ"ט ה"א ויד דוד יומא שם, שתמהו שהרי אף לר"ש לכתחילה מים קודמים, עי' להלן, ועי' חזו"נ תמורה שם מ"ה, ועי' מלאכת שלמה ומראה הנוגה פרה שם ותפא"י תמורה פ"א בועז אות ו, שכוונת רש"י לעירוב האפר והמים שאחר נתינת האפר, שמקיים בו נתינת מים על האפר, עי' ציון 514 ואילך, ועי' מראה הנוגה שם, שרש"י לשיטתו שעיקר הקידוש בעירוב, עי' ציון 533, ועי' חוט המשולש שו"ת (דיואן) סי' כא (יט טור ב), ועי' חס"ד דלהלן.</w:t>
      </w:r>
    </w:p>
  </w:footnote>
  <w:footnote w:id="406">
    <w:p w14:paraId="04E65D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406</w:t>
      </w:r>
      <w:r>
        <w:rPr>
          <w:rFonts w:ascii="David" w:hAnsi="David" w:cs="David"/>
          <w:sz w:val="24"/>
          <w:szCs w:val="24"/>
          <w:rtl/>
        </w:rPr>
        <w:t xml:space="preserve"> </w:t>
      </w:r>
      <w:r>
        <w:rPr>
          <w:rFonts w:ascii="David" w:hAnsi="David" w:cs="David"/>
          <w:color w:val="000000"/>
          <w:sz w:val="18"/>
          <w:szCs w:val="18"/>
          <w:rtl/>
        </w:rPr>
        <w:t>. ציון 422 ואילך.</w:t>
      </w:r>
    </w:p>
  </w:footnote>
  <w:footnote w:id="407">
    <w:p w14:paraId="149593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407</w:t>
      </w:r>
      <w:r>
        <w:rPr>
          <w:rFonts w:ascii="David" w:hAnsi="David" w:cs="David"/>
          <w:sz w:val="24"/>
          <w:szCs w:val="24"/>
          <w:rtl/>
        </w:rPr>
        <w:t xml:space="preserve"> </w:t>
      </w:r>
      <w:r>
        <w:rPr>
          <w:rFonts w:ascii="David" w:hAnsi="David" w:cs="David"/>
          <w:color w:val="000000"/>
          <w:sz w:val="18"/>
          <w:szCs w:val="18"/>
          <w:rtl/>
        </w:rPr>
        <w:t>. ציון 631.</w:t>
      </w:r>
    </w:p>
  </w:footnote>
  <w:footnote w:id="408">
    <w:p w14:paraId="493782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408</w:t>
      </w:r>
      <w:r>
        <w:rPr>
          <w:rFonts w:ascii="David" w:hAnsi="David" w:cs="David"/>
          <w:sz w:val="24"/>
          <w:szCs w:val="24"/>
          <w:rtl/>
        </w:rPr>
        <w:t xml:space="preserve"> </w:t>
      </w:r>
      <w:r>
        <w:rPr>
          <w:rFonts w:ascii="David" w:hAnsi="David" w:cs="David"/>
          <w:color w:val="000000"/>
          <w:sz w:val="18"/>
          <w:szCs w:val="18"/>
          <w:rtl/>
        </w:rPr>
        <w:t>. רש"י סוטה שם ד"ה מה להלן ותמורה שם ד"ה נאמר, ותוס' תמורה שם ד"ה הא, בפי' גמ' שבציון 414.</w:t>
      </w:r>
    </w:p>
  </w:footnote>
  <w:footnote w:id="409">
    <w:p w14:paraId="719A84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409</w:t>
      </w:r>
      <w:r>
        <w:rPr>
          <w:rFonts w:ascii="David" w:hAnsi="David" w:cs="David"/>
          <w:sz w:val="24"/>
          <w:szCs w:val="24"/>
          <w:rtl/>
        </w:rPr>
        <w:t xml:space="preserve"> </w:t>
      </w:r>
      <w:r>
        <w:rPr>
          <w:rFonts w:ascii="David" w:hAnsi="David" w:cs="David"/>
          <w:color w:val="000000"/>
          <w:sz w:val="18"/>
          <w:szCs w:val="18"/>
          <w:rtl/>
        </w:rPr>
        <w:t>. עי' חס"ד פרה פ"ה ה"ז, שכן מוכח בפרה פ"ג מ"ב וג: הגיעו לשילוח ירדו ומלאום וכו' ובפתח העזרה היה מתוקן קלל של חטאת וכו', ועי' חס"ד שם, ראיות נוספות. וע"ש שמש"כ תוס' יומא מג א ד"ה הכל, שבכ"מ במס' פרה מ' שנותנים מים קודם לאפר, ולא הביאו מגמ' שבציון 405, היינו להוכיח שכך המנהג, והיינו משום שכן הדין לכתחילה, ושלכך א"א לפרש ד' רש"י הנ"ל כר"ש.</w:t>
      </w:r>
    </w:p>
  </w:footnote>
  <w:footnote w:id="410">
    <w:p w14:paraId="4FDBBB9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410</w:t>
      </w:r>
      <w:r>
        <w:rPr>
          <w:rFonts w:ascii="David" w:hAnsi="David" w:cs="David"/>
          <w:sz w:val="24"/>
          <w:szCs w:val="24"/>
          <w:rtl/>
        </w:rPr>
        <w:t xml:space="preserve"> </w:t>
      </w:r>
      <w:r>
        <w:rPr>
          <w:rFonts w:ascii="David" w:hAnsi="David" w:cs="David"/>
          <w:color w:val="000000"/>
          <w:sz w:val="18"/>
          <w:szCs w:val="18"/>
          <w:rtl/>
        </w:rPr>
        <w:t>. במדבר יט יז.</w:t>
      </w:r>
    </w:p>
  </w:footnote>
  <w:footnote w:id="411">
    <w:p w14:paraId="3BB8435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411</w:t>
      </w:r>
      <w:r>
        <w:rPr>
          <w:rFonts w:ascii="David" w:hAnsi="David" w:cs="David"/>
          <w:sz w:val="24"/>
          <w:szCs w:val="24"/>
          <w:rtl/>
        </w:rPr>
        <w:t xml:space="preserve"> </w:t>
      </w:r>
      <w:r>
        <w:rPr>
          <w:rFonts w:ascii="David" w:hAnsi="David" w:cs="David"/>
          <w:color w:val="000000"/>
          <w:sz w:val="18"/>
          <w:szCs w:val="18"/>
          <w:rtl/>
        </w:rPr>
        <w:t>. רש"י סוטה ותמורה שם.</w:t>
      </w:r>
    </w:p>
  </w:footnote>
  <w:footnote w:id="412">
    <w:p w14:paraId="26FBE58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412</w:t>
      </w:r>
      <w:r>
        <w:rPr>
          <w:rFonts w:ascii="David" w:hAnsi="David" w:cs="David"/>
          <w:sz w:val="24"/>
          <w:szCs w:val="24"/>
          <w:rtl/>
        </w:rPr>
        <w:t xml:space="preserve"> </w:t>
      </w:r>
      <w:r>
        <w:rPr>
          <w:rFonts w:ascii="David" w:hAnsi="David" w:cs="David"/>
          <w:color w:val="000000"/>
          <w:sz w:val="18"/>
          <w:szCs w:val="18"/>
          <w:rtl/>
        </w:rPr>
        <w:t>. במדבר ה יז.</w:t>
      </w:r>
    </w:p>
  </w:footnote>
  <w:footnote w:id="413">
    <w:p w14:paraId="28A22B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413</w:t>
      </w:r>
      <w:r>
        <w:rPr>
          <w:rFonts w:ascii="David" w:hAnsi="David" w:cs="David"/>
          <w:sz w:val="24"/>
          <w:szCs w:val="24"/>
          <w:rtl/>
        </w:rPr>
        <w:t xml:space="preserve"> </w:t>
      </w:r>
      <w:r>
        <w:rPr>
          <w:rFonts w:ascii="David" w:hAnsi="David" w:cs="David"/>
          <w:color w:val="000000"/>
          <w:sz w:val="18"/>
          <w:szCs w:val="18"/>
          <w:rtl/>
        </w:rPr>
        <w:t>. ע"ע סוטה.</w:t>
      </w:r>
    </w:p>
  </w:footnote>
  <w:footnote w:id="414">
    <w:p w14:paraId="706FF4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414</w:t>
      </w:r>
      <w:r>
        <w:rPr>
          <w:rFonts w:ascii="David" w:hAnsi="David" w:cs="David"/>
          <w:sz w:val="24"/>
          <w:szCs w:val="24"/>
          <w:rtl/>
        </w:rPr>
        <w:t xml:space="preserve"> </w:t>
      </w:r>
      <w:r>
        <w:rPr>
          <w:rFonts w:ascii="David" w:hAnsi="David" w:cs="David"/>
          <w:color w:val="000000"/>
          <w:sz w:val="18"/>
          <w:szCs w:val="18"/>
          <w:rtl/>
        </w:rPr>
        <w:t>. סוטה ותמורה שם. ועי' ציון הבא.</w:t>
      </w:r>
    </w:p>
  </w:footnote>
  <w:footnote w:id="415">
    <w:p w14:paraId="11FA7A1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415</w:t>
      </w:r>
      <w:r>
        <w:rPr>
          <w:rFonts w:ascii="David" w:hAnsi="David" w:cs="David"/>
          <w:sz w:val="24"/>
          <w:szCs w:val="24"/>
          <w:rtl/>
        </w:rPr>
        <w:t xml:space="preserve"> </w:t>
      </w:r>
      <w:r>
        <w:rPr>
          <w:rFonts w:ascii="David" w:hAnsi="David" w:cs="David"/>
          <w:color w:val="000000"/>
          <w:sz w:val="18"/>
          <w:szCs w:val="18"/>
          <w:rtl/>
        </w:rPr>
        <w:t>. עי' ציון 422. תוס' שם. ועי' גמ' שם, שהג"ש הוצרכה אף ללמד על סוטה שאם הקדים עפר למים כשר בדיעבד, ע"ע סוטה, ועי' חזו"נ תמורה שם מ"ה והגהה במלאכת שלמה פרה פ"ט ה"א.</w:t>
      </w:r>
    </w:p>
  </w:footnote>
  <w:footnote w:id="416">
    <w:p w14:paraId="512AB6C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416</w:t>
      </w:r>
      <w:r>
        <w:rPr>
          <w:rFonts w:ascii="David" w:hAnsi="David" w:cs="David"/>
          <w:sz w:val="24"/>
          <w:szCs w:val="24"/>
          <w:rtl/>
        </w:rPr>
        <w:t xml:space="preserve"> </w:t>
      </w:r>
      <w:r>
        <w:rPr>
          <w:rFonts w:ascii="David" w:hAnsi="David" w:cs="David"/>
          <w:color w:val="000000"/>
          <w:sz w:val="18"/>
          <w:szCs w:val="18"/>
          <w:rtl/>
        </w:rPr>
        <w:t>. רמב"ם פרה שם; מאירי סוטה שם. ועי' רש"י שבציון 405.</w:t>
      </w:r>
    </w:p>
  </w:footnote>
  <w:footnote w:id="417">
    <w:p w14:paraId="6EB28B6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417</w:t>
      </w:r>
      <w:r>
        <w:rPr>
          <w:rFonts w:ascii="David" w:hAnsi="David" w:cs="David"/>
          <w:sz w:val="24"/>
          <w:szCs w:val="24"/>
          <w:rtl/>
        </w:rPr>
        <w:t xml:space="preserve"> </w:t>
      </w:r>
      <w:r>
        <w:rPr>
          <w:rFonts w:ascii="David" w:hAnsi="David" w:cs="David"/>
          <w:color w:val="000000"/>
          <w:sz w:val="18"/>
          <w:szCs w:val="18"/>
          <w:rtl/>
        </w:rPr>
        <w:t>. תמורה שם א, לגי' רש"י שם. ועי' ציון 619, שי"ג בע"א, ושאף לדבריהם המשנה אינה כר"ש.</w:t>
      </w:r>
    </w:p>
  </w:footnote>
  <w:footnote w:id="418">
    <w:p w14:paraId="529B584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418</w:t>
      </w:r>
      <w:r>
        <w:rPr>
          <w:rFonts w:ascii="David" w:hAnsi="David" w:cs="David"/>
          <w:sz w:val="24"/>
          <w:szCs w:val="24"/>
          <w:rtl/>
        </w:rPr>
        <w:t xml:space="preserve"> </w:t>
      </w:r>
      <w:r>
        <w:rPr>
          <w:rFonts w:ascii="David" w:hAnsi="David" w:cs="David"/>
          <w:color w:val="000000"/>
          <w:sz w:val="18"/>
          <w:szCs w:val="18"/>
          <w:rtl/>
        </w:rPr>
        <w:t>. עי' גמ' שם ב: מאן תנא וכו', ורש"י שם א ד"ה ואין. בית ישחק פרה שם; ערה"ש פרה סי' סא אות ב. ולכאו' היינו לתוספת חיזוק, אבל אף בלא זה בכל מקום הלכה כחכמים לגבי ר"ש.</w:t>
      </w:r>
    </w:p>
  </w:footnote>
  <w:footnote w:id="419">
    <w:p w14:paraId="2C9625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419</w:t>
      </w:r>
      <w:r>
        <w:rPr>
          <w:rFonts w:ascii="David" w:hAnsi="David" w:cs="David"/>
          <w:sz w:val="24"/>
          <w:szCs w:val="24"/>
          <w:rtl/>
        </w:rPr>
        <w:t xml:space="preserve"> </w:t>
      </w:r>
      <w:r>
        <w:rPr>
          <w:rFonts w:ascii="David" w:hAnsi="David" w:cs="David"/>
          <w:color w:val="000000"/>
          <w:sz w:val="18"/>
          <w:szCs w:val="18"/>
          <w:rtl/>
        </w:rPr>
        <w:t>. במדבר יט יז.</w:t>
      </w:r>
    </w:p>
  </w:footnote>
  <w:footnote w:id="420">
    <w:p w14:paraId="171C64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420</w:t>
      </w:r>
      <w:r>
        <w:rPr>
          <w:rFonts w:ascii="David" w:hAnsi="David" w:cs="David"/>
          <w:sz w:val="24"/>
          <w:szCs w:val="24"/>
          <w:rtl/>
        </w:rPr>
        <w:t xml:space="preserve"> </w:t>
      </w:r>
      <w:r>
        <w:rPr>
          <w:rFonts w:ascii="David" w:hAnsi="David" w:cs="David"/>
          <w:color w:val="000000"/>
          <w:sz w:val="18"/>
          <w:szCs w:val="18"/>
          <w:rtl/>
        </w:rPr>
        <w:t>. שם.</w:t>
      </w:r>
    </w:p>
  </w:footnote>
  <w:footnote w:id="421">
    <w:p w14:paraId="374544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421</w:t>
      </w:r>
      <w:r>
        <w:rPr>
          <w:rFonts w:ascii="David" w:hAnsi="David" w:cs="David"/>
          <w:sz w:val="24"/>
          <w:szCs w:val="24"/>
          <w:rtl/>
        </w:rPr>
        <w:t xml:space="preserve"> </w:t>
      </w:r>
      <w:r>
        <w:rPr>
          <w:rFonts w:ascii="David" w:hAnsi="David" w:cs="David"/>
          <w:color w:val="000000"/>
          <w:sz w:val="18"/>
          <w:szCs w:val="18"/>
          <w:rtl/>
        </w:rPr>
        <w:t>. עי' רש"י דלהלן. ועי' ציון 214.</w:t>
      </w:r>
    </w:p>
  </w:footnote>
  <w:footnote w:id="422">
    <w:p w14:paraId="77619DF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422</w:t>
      </w:r>
      <w:r>
        <w:rPr>
          <w:rFonts w:ascii="David" w:hAnsi="David" w:cs="David"/>
          <w:sz w:val="24"/>
          <w:szCs w:val="24"/>
          <w:rtl/>
        </w:rPr>
        <w:t xml:space="preserve"> </w:t>
      </w:r>
      <w:r>
        <w:rPr>
          <w:rFonts w:ascii="David" w:hAnsi="David" w:cs="David"/>
          <w:color w:val="000000"/>
          <w:sz w:val="18"/>
          <w:szCs w:val="18"/>
          <w:rtl/>
        </w:rPr>
        <w:t>. עי' סוטה טז ב ותמורה יב ב, ורש"י סוטה שם ד"ה מים וסוכה לז א ד"ה נפל. ועי' בהגר"א לתוספתא פרה פ"ו, שר"ש למד שמים למעלה כשר, מסוטה, בכלל הג"ש שבציון 414, וצ"ב.</w:t>
      </w:r>
    </w:p>
  </w:footnote>
  <w:footnote w:id="423">
    <w:p w14:paraId="76F6FB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423</w:t>
      </w:r>
      <w:r>
        <w:rPr>
          <w:rFonts w:ascii="David" w:hAnsi="David" w:cs="David"/>
          <w:sz w:val="24"/>
          <w:szCs w:val="24"/>
          <w:rtl/>
        </w:rPr>
        <w:t xml:space="preserve"> </w:t>
      </w:r>
      <w:r>
        <w:rPr>
          <w:rFonts w:ascii="David" w:hAnsi="David" w:cs="David"/>
          <w:color w:val="000000"/>
          <w:sz w:val="18"/>
          <w:szCs w:val="18"/>
          <w:rtl/>
        </w:rPr>
        <w:t>. ציון 408.</w:t>
      </w:r>
    </w:p>
  </w:footnote>
  <w:footnote w:id="424">
    <w:p w14:paraId="7C21228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424</w:t>
      </w:r>
      <w:r>
        <w:rPr>
          <w:rFonts w:ascii="David" w:hAnsi="David" w:cs="David"/>
          <w:sz w:val="24"/>
          <w:szCs w:val="24"/>
          <w:rtl/>
        </w:rPr>
        <w:t xml:space="preserve"> </w:t>
      </w:r>
      <w:r>
        <w:rPr>
          <w:rFonts w:ascii="David" w:hAnsi="David" w:cs="David"/>
          <w:color w:val="000000"/>
          <w:sz w:val="18"/>
          <w:szCs w:val="18"/>
          <w:rtl/>
        </w:rPr>
        <w:t>. ע"ע סוטה.</w:t>
      </w:r>
    </w:p>
  </w:footnote>
  <w:footnote w:id="425">
    <w:p w14:paraId="1E36DF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425</w:t>
      </w:r>
      <w:r>
        <w:rPr>
          <w:rFonts w:ascii="David" w:hAnsi="David" w:cs="David"/>
          <w:sz w:val="24"/>
          <w:szCs w:val="24"/>
          <w:rtl/>
        </w:rPr>
        <w:t xml:space="preserve"> </w:t>
      </w:r>
      <w:r>
        <w:rPr>
          <w:rFonts w:ascii="David" w:hAnsi="David" w:cs="David"/>
          <w:color w:val="000000"/>
          <w:sz w:val="18"/>
          <w:szCs w:val="18"/>
          <w:rtl/>
        </w:rPr>
        <w:t>. ע"ע הזאה (ב) ציון 55 ואילך וע' טהרת מצורע ציון 277. רש"י שם ד"ה מכשיר.</w:t>
      </w:r>
    </w:p>
  </w:footnote>
  <w:footnote w:id="426">
    <w:p w14:paraId="3A1AA4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426</w:t>
      </w:r>
      <w:r>
        <w:rPr>
          <w:rFonts w:ascii="David" w:hAnsi="David" w:cs="David"/>
          <w:sz w:val="24"/>
          <w:szCs w:val="24"/>
          <w:rtl/>
        </w:rPr>
        <w:t xml:space="preserve"> </w:t>
      </w:r>
      <w:r>
        <w:rPr>
          <w:rFonts w:ascii="David" w:hAnsi="David" w:cs="David"/>
          <w:color w:val="000000"/>
          <w:sz w:val="18"/>
          <w:szCs w:val="18"/>
          <w:rtl/>
        </w:rPr>
        <w:t>. סוטה ותמורה שם. ועי' רמב"ן במדבר שם, שדרשו כן, משום שלא נאמר אל כלי קודם ונתן עליו מים.</w:t>
      </w:r>
    </w:p>
  </w:footnote>
  <w:footnote w:id="427">
    <w:p w14:paraId="2B16F6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427</w:t>
      </w:r>
      <w:r>
        <w:rPr>
          <w:rFonts w:ascii="David" w:hAnsi="David" w:cs="David"/>
          <w:sz w:val="24"/>
          <w:szCs w:val="24"/>
          <w:rtl/>
        </w:rPr>
        <w:t xml:space="preserve"> </w:t>
      </w:r>
      <w:r>
        <w:rPr>
          <w:rFonts w:ascii="David" w:hAnsi="David" w:cs="David"/>
          <w:color w:val="000000"/>
          <w:sz w:val="18"/>
          <w:szCs w:val="18"/>
          <w:rtl/>
        </w:rPr>
        <w:t>. ציון 514 ואילך.</w:t>
      </w:r>
    </w:p>
  </w:footnote>
  <w:footnote w:id="428">
    <w:p w14:paraId="2AF7AF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428</w:t>
      </w:r>
      <w:r>
        <w:rPr>
          <w:rFonts w:ascii="David" w:hAnsi="David" w:cs="David"/>
          <w:sz w:val="24"/>
          <w:szCs w:val="24"/>
          <w:rtl/>
        </w:rPr>
        <w:t xml:space="preserve"> </w:t>
      </w:r>
      <w:r>
        <w:rPr>
          <w:rFonts w:ascii="David" w:hAnsi="David" w:cs="David"/>
          <w:color w:val="000000"/>
          <w:sz w:val="18"/>
          <w:szCs w:val="18"/>
          <w:rtl/>
        </w:rPr>
        <w:t>. עי' ציון הבא.</w:t>
      </w:r>
    </w:p>
  </w:footnote>
  <w:footnote w:id="429">
    <w:p w14:paraId="7B1A52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429</w:t>
      </w:r>
      <w:r>
        <w:rPr>
          <w:rFonts w:ascii="David" w:hAnsi="David" w:cs="David"/>
          <w:sz w:val="24"/>
          <w:szCs w:val="24"/>
          <w:rtl/>
        </w:rPr>
        <w:t xml:space="preserve"> </w:t>
      </w:r>
      <w:r>
        <w:rPr>
          <w:rFonts w:ascii="David" w:hAnsi="David" w:cs="David"/>
          <w:color w:val="000000"/>
          <w:sz w:val="18"/>
          <w:szCs w:val="18"/>
          <w:rtl/>
        </w:rPr>
        <w:t>. תוס' יומא מג א ד"ה הכל; רלב"ג במדבר שם. ועי' מהרש"א סוטה שם ותוי"ט תמורה פ"א מ"ה וחכ"צ סי' קנד וזרע יצחק יומא שם שתמהו, שפי' זה סותר לגמ' דלעיל, ועי' חס"ד פרה פ"ה והכתב והקבלה במדבר שם, שהיינו לפי פשוטו של מקרא, ועי' כפו"ת סוכה לז ב, שהדרש דלעיל אינו אלא אסמכתא, עי' ציון 543, ועי' חזו"נ תמורה שם ותפא"י שם בועז אות ו וחוט המשולש שו"ת (דיואן) סי' כא (יט טור ב) ויד דוד יומא שם וחזו"א פרה סי' יא ס"ק יא, ועי' ציון 409. ועי' ציון 510. ועי' תוס' סוכה לז ב ד"ה אמאי, שבכ"מ מ' שתיבת "ונתן" מוסבת על נתינת האפר, ושאפשר שהכתוב מתפרש על שניהם, וכ"כ בריטב"א שם, ועי' ציון 492.</w:t>
      </w:r>
    </w:p>
  </w:footnote>
  <w:footnote w:id="430">
    <w:p w14:paraId="3BCEED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430</w:t>
      </w:r>
      <w:r>
        <w:rPr>
          <w:rFonts w:ascii="David" w:hAnsi="David" w:cs="David"/>
          <w:sz w:val="24"/>
          <w:szCs w:val="24"/>
          <w:rtl/>
        </w:rPr>
        <w:t xml:space="preserve"> </w:t>
      </w:r>
      <w:r>
        <w:rPr>
          <w:rFonts w:ascii="David" w:hAnsi="David" w:cs="David"/>
          <w:color w:val="000000"/>
          <w:sz w:val="18"/>
          <w:szCs w:val="18"/>
          <w:rtl/>
        </w:rPr>
        <w:t>. ציון 342.</w:t>
      </w:r>
    </w:p>
  </w:footnote>
  <w:footnote w:id="431">
    <w:p w14:paraId="0C7826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431</w:t>
      </w:r>
      <w:r>
        <w:rPr>
          <w:rFonts w:ascii="David" w:hAnsi="David" w:cs="David"/>
          <w:sz w:val="24"/>
          <w:szCs w:val="24"/>
          <w:rtl/>
        </w:rPr>
        <w:t xml:space="preserve"> </w:t>
      </w:r>
      <w:r>
        <w:rPr>
          <w:rFonts w:ascii="David" w:hAnsi="David" w:cs="David"/>
          <w:color w:val="000000"/>
          <w:sz w:val="18"/>
          <w:szCs w:val="18"/>
          <w:rtl/>
        </w:rPr>
        <w:t>. עי' רש"י שבציון 435.</w:t>
      </w:r>
    </w:p>
  </w:footnote>
  <w:footnote w:id="432">
    <w:p w14:paraId="787082C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432</w:t>
      </w:r>
      <w:r>
        <w:rPr>
          <w:rFonts w:ascii="David" w:hAnsi="David" w:cs="David"/>
          <w:sz w:val="24"/>
          <w:szCs w:val="24"/>
          <w:rtl/>
        </w:rPr>
        <w:t xml:space="preserve"> </w:t>
      </w:r>
      <w:r>
        <w:rPr>
          <w:rFonts w:ascii="David" w:hAnsi="David" w:cs="David"/>
          <w:color w:val="000000"/>
          <w:sz w:val="18"/>
          <w:szCs w:val="18"/>
          <w:rtl/>
        </w:rPr>
        <w:t>. ציון 325 ואילך.</w:t>
      </w:r>
    </w:p>
  </w:footnote>
  <w:footnote w:id="433">
    <w:p w14:paraId="0F55F4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433</w:t>
      </w:r>
      <w:r>
        <w:rPr>
          <w:rFonts w:ascii="David" w:hAnsi="David" w:cs="David"/>
          <w:sz w:val="24"/>
          <w:szCs w:val="24"/>
          <w:rtl/>
        </w:rPr>
        <w:t xml:space="preserve"> </w:t>
      </w:r>
      <w:r>
        <w:rPr>
          <w:rFonts w:ascii="David" w:hAnsi="David" w:cs="David"/>
          <w:color w:val="000000"/>
          <w:sz w:val="18"/>
          <w:szCs w:val="18"/>
          <w:rtl/>
        </w:rPr>
        <w:t>. עי' ברייתא זבחים צג ב ומנחות ז ב; עי' רמב"ם פרה פ"ט ה"ג. ועי' להלן. ועי' חי' הגרי"ז מנחות שם, שאי"ז דין שבפחות מהשיעור אינו מתקדש, אלא דין במעשה הקידוש.</w:t>
      </w:r>
    </w:p>
  </w:footnote>
  <w:footnote w:id="434">
    <w:p w14:paraId="6F925F4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434</w:t>
      </w:r>
      <w:r>
        <w:rPr>
          <w:rFonts w:ascii="David" w:hAnsi="David" w:cs="David"/>
          <w:sz w:val="24"/>
          <w:szCs w:val="24"/>
          <w:rtl/>
        </w:rPr>
        <w:t xml:space="preserve"> </w:t>
      </w:r>
      <w:r>
        <w:rPr>
          <w:rFonts w:ascii="David" w:hAnsi="David" w:cs="David"/>
          <w:color w:val="000000"/>
          <w:sz w:val="18"/>
          <w:szCs w:val="18"/>
          <w:rtl/>
        </w:rPr>
        <w:t>. במדבר יט יח. מסקנת גמ' שם ושם.</w:t>
      </w:r>
    </w:p>
  </w:footnote>
  <w:footnote w:id="435">
    <w:p w14:paraId="5D5DA2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435</w:t>
      </w:r>
      <w:r>
        <w:rPr>
          <w:rFonts w:ascii="David" w:hAnsi="David" w:cs="David"/>
          <w:sz w:val="24"/>
          <w:szCs w:val="24"/>
          <w:rtl/>
        </w:rPr>
        <w:t xml:space="preserve"> </w:t>
      </w:r>
      <w:r>
        <w:rPr>
          <w:rFonts w:ascii="David" w:hAnsi="David" w:cs="David"/>
          <w:color w:val="000000"/>
          <w:sz w:val="18"/>
          <w:szCs w:val="18"/>
          <w:rtl/>
        </w:rPr>
        <w:t>. רש"י זבחים שם ד"ה וטבל.</w:t>
      </w:r>
    </w:p>
  </w:footnote>
  <w:footnote w:id="436">
    <w:p w14:paraId="6C2DDB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436</w:t>
      </w:r>
      <w:r>
        <w:rPr>
          <w:rFonts w:ascii="David" w:hAnsi="David" w:cs="David"/>
          <w:sz w:val="24"/>
          <w:szCs w:val="24"/>
          <w:rtl/>
        </w:rPr>
        <w:t xml:space="preserve"> </w:t>
      </w:r>
      <w:r>
        <w:rPr>
          <w:rFonts w:ascii="David" w:hAnsi="David" w:cs="David"/>
          <w:color w:val="000000"/>
          <w:sz w:val="18"/>
          <w:szCs w:val="18"/>
          <w:rtl/>
        </w:rPr>
        <w:t>. ברייתא זבחים ומנחות שם; רמב"ם שם. ועי' ציונים הבאים.</w:t>
      </w:r>
    </w:p>
  </w:footnote>
  <w:footnote w:id="437">
    <w:p w14:paraId="3640753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437</w:t>
      </w:r>
      <w:r>
        <w:rPr>
          <w:rFonts w:ascii="David" w:hAnsi="David" w:cs="David"/>
          <w:sz w:val="24"/>
          <w:szCs w:val="24"/>
          <w:rtl/>
        </w:rPr>
        <w:t xml:space="preserve"> </w:t>
      </w:r>
      <w:r>
        <w:rPr>
          <w:rFonts w:ascii="David" w:hAnsi="David" w:cs="David"/>
          <w:color w:val="000000"/>
          <w:sz w:val="18"/>
          <w:szCs w:val="18"/>
          <w:rtl/>
        </w:rPr>
        <w:t>. רש"י זבחים שם ד"ה קיבל ומנחות שם ד"ה לא. ועי' קר"א שם שלפ"ז זהו שבאה הברייתא להשמיע, שאל"כ אין חידוש בשני כלים, ועי' להלן שצידד לומר באופ"א.</w:t>
      </w:r>
    </w:p>
  </w:footnote>
  <w:footnote w:id="438">
    <w:p w14:paraId="61DED3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438</w:t>
      </w:r>
      <w:r>
        <w:rPr>
          <w:rFonts w:ascii="David" w:hAnsi="David" w:cs="David"/>
          <w:sz w:val="24"/>
          <w:szCs w:val="24"/>
          <w:rtl/>
        </w:rPr>
        <w:t xml:space="preserve"> </w:t>
      </w:r>
      <w:r>
        <w:rPr>
          <w:rFonts w:ascii="David" w:hAnsi="David" w:cs="David"/>
          <w:color w:val="000000"/>
          <w:sz w:val="18"/>
          <w:szCs w:val="18"/>
          <w:rtl/>
        </w:rPr>
        <w:t>. הגרי"ז שם, וצ"ב אם כ"ה אף לסוברים שהקדים אפר למים כשר, עי' ציון 405, שא"א שחלק מהמים יקדמו לאפר וחלק לא יקדמו ויתקדשו כולם בקידוש אחד, ועי' ציון 633, או שכשהם ניתנים בבת א' פסול לד"ה, עי' ציון 662, וא"א שחלק מהשיעור יתקדשו מחמת האפר שהיה בכלי, וחלק מחמת האפר שהוסיף. ועי' הגרי"ז שם, שצידד עוד שאין לאפר שם אפר, אלא מי חטאת, וא"א לקדש בו, ועי' ציונים 621, 662, 672, ועי' קר"א שם, שדן שחשוב כמים שלא נשאבו בכלי, כיון שלא היו ראויים בכלי הראשון, ולכאו' היינו שכל שלבסוף לא הוסיף מים בכלי הראשון, הוברר שאותו כלי לא היה ראוי לקידוש. ולכאו' לד' רש"י, קידוש בכלי שלא נתמלא בו, אינו מועיל מדרבנן, עי' ציון 250 ואילך, ושם שי"ס שבדיעבד כשר.</w:t>
      </w:r>
    </w:p>
  </w:footnote>
  <w:footnote w:id="439">
    <w:p w14:paraId="3C70E24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439</w:t>
      </w:r>
      <w:r>
        <w:rPr>
          <w:rFonts w:ascii="David" w:hAnsi="David" w:cs="David"/>
          <w:sz w:val="24"/>
          <w:szCs w:val="24"/>
          <w:rtl/>
        </w:rPr>
        <w:t xml:space="preserve"> </w:t>
      </w:r>
      <w:r>
        <w:rPr>
          <w:rFonts w:ascii="David" w:hAnsi="David" w:cs="David"/>
          <w:color w:val="000000"/>
          <w:sz w:val="18"/>
          <w:szCs w:val="18"/>
          <w:rtl/>
        </w:rPr>
        <w:t>. קר"א שם, והיינו כסוברים שקידוש מועיל אף שלא באותו כלי שמילא בו, עי' ציון 253 ואילך. וצ"ב אם הוא משום שבכל מים בפנ"ע נתקיים "אפר על המים", אף על פי שלא נתקדש בשעתו, (והרי הקידוש נשלם בעירוב, ולא בשעת נתינת האפר), או שהוא סובר שדי שחלק מהאפר ניתן אחר המים (לכה"פ כשלא נפסלו המים, עי' ציון 404), ואף כשניתן בב"א, חשוב כאפר על המים, ועי' ציון הנ"ל וציון הקודם. ועי' קר"א שם, שאינם חשובים כמים שלא נשאבו בכלי, שהיו ראויים להתקדש בכלי הראשון ע"י הוספת מים. וע"ש שכ"מ מסתימת רמב"ם שם. וע"ש שלפי"ז הברייתא לא דיברה בכלי אחד, שכיון שאין בו שיעור א"א להזות ממנו, ולכן דנה בב' כלים, ולכאו' ה"ה שנ"מ בכלי א', כשהיה לו עוד מים בכלי אחר. וע"ש שאם היה מועיל בב' כלים, היה יכול להזות משניהם, וצ"ב, ואולי המסקנא שלא מועיל קידוש בב' כלים, היא משום שא"א להזות מב' כלים, ולכאו' אף אם א"א להזות אלא כשיערבם, נ"מ אילו היו מתקדשים קודם שיערבם, שיהיה כשר אף אם יערבם פסול, ואין נפסלים במלאכה ובהיסה"ד משעת הקידוש.</w:t>
      </w:r>
    </w:p>
  </w:footnote>
  <w:footnote w:id="440">
    <w:p w14:paraId="51A5801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440</w:t>
      </w:r>
      <w:r>
        <w:rPr>
          <w:rFonts w:ascii="David" w:hAnsi="David" w:cs="David"/>
          <w:sz w:val="24"/>
          <w:szCs w:val="24"/>
          <w:rtl/>
        </w:rPr>
        <w:t xml:space="preserve"> </w:t>
      </w:r>
      <w:r>
        <w:rPr>
          <w:rFonts w:ascii="David" w:hAnsi="David" w:cs="David"/>
          <w:color w:val="000000"/>
          <w:sz w:val="18"/>
          <w:szCs w:val="18"/>
          <w:rtl/>
        </w:rPr>
        <w:t>. עי' ציון 724.</w:t>
      </w:r>
    </w:p>
  </w:footnote>
  <w:footnote w:id="441">
    <w:p w14:paraId="55305C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441</w:t>
      </w:r>
      <w:r>
        <w:rPr>
          <w:rFonts w:ascii="David" w:hAnsi="David" w:cs="David"/>
          <w:sz w:val="24"/>
          <w:szCs w:val="24"/>
          <w:rtl/>
        </w:rPr>
        <w:t xml:space="preserve"> </w:t>
      </w:r>
      <w:r>
        <w:rPr>
          <w:rFonts w:ascii="David" w:hAnsi="David" w:cs="David"/>
          <w:color w:val="000000"/>
          <w:sz w:val="18"/>
          <w:szCs w:val="18"/>
          <w:rtl/>
        </w:rPr>
        <w:t>. עי' תפא"י פרה פ"ה אות טו; ערה"ש פרה סי' סח אות י. ועי' ציון 890 ואילך. ועי' ציון 439, אם אפשר להזות מב' כלים.</w:t>
      </w:r>
    </w:p>
  </w:footnote>
  <w:footnote w:id="442">
    <w:p w14:paraId="3B4B536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442</w:t>
      </w:r>
      <w:r>
        <w:rPr>
          <w:rFonts w:ascii="David" w:hAnsi="David" w:cs="David"/>
          <w:sz w:val="24"/>
          <w:szCs w:val="24"/>
          <w:rtl/>
        </w:rPr>
        <w:t xml:space="preserve"> </w:t>
      </w:r>
      <w:r>
        <w:rPr>
          <w:rFonts w:ascii="David" w:hAnsi="David" w:cs="David"/>
          <w:color w:val="000000"/>
          <w:sz w:val="18"/>
          <w:szCs w:val="18"/>
          <w:rtl/>
        </w:rPr>
        <w:t>. פרה פ"ה מ"ה וידים פ"א מ"ב; רמב"ם פרה פ"ו ה"ב ופ"ט ה"א.</w:t>
      </w:r>
    </w:p>
  </w:footnote>
  <w:footnote w:id="443">
    <w:p w14:paraId="53CB621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443</w:t>
      </w:r>
      <w:r>
        <w:rPr>
          <w:rFonts w:ascii="David" w:hAnsi="David" w:cs="David"/>
          <w:sz w:val="24"/>
          <w:szCs w:val="24"/>
          <w:rtl/>
        </w:rPr>
        <w:t xml:space="preserve"> </w:t>
      </w:r>
      <w:r>
        <w:rPr>
          <w:rFonts w:ascii="David" w:hAnsi="David" w:cs="David"/>
          <w:color w:val="000000"/>
          <w:sz w:val="18"/>
          <w:szCs w:val="18"/>
          <w:rtl/>
        </w:rPr>
        <w:t>. במדבר יט יז, ועי' ספרי במדבר שם פיס' קכח, וע"ע כלים ציון 675. רע"ב פרה שם; ק"ס פ"ו שם; תפא"י שם אות ל.</w:t>
      </w:r>
    </w:p>
  </w:footnote>
  <w:footnote w:id="444">
    <w:p w14:paraId="3C7F1E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444</w:t>
      </w:r>
      <w:r>
        <w:rPr>
          <w:rFonts w:ascii="David" w:hAnsi="David" w:cs="David"/>
          <w:sz w:val="24"/>
          <w:szCs w:val="24"/>
          <w:rtl/>
        </w:rPr>
        <w:t xml:space="preserve"> </w:t>
      </w:r>
      <w:r>
        <w:rPr>
          <w:rFonts w:ascii="David" w:hAnsi="David" w:cs="David"/>
          <w:color w:val="000000"/>
          <w:sz w:val="18"/>
          <w:szCs w:val="18"/>
          <w:rtl/>
        </w:rPr>
        <w:t>. עי' כס"מ שם ה"ד; משנ"א פרה שם, וע"ש שדרשו כן אף לענין הזאה. ומ' באחרונים שם, שעיקר הכתוב לענין קידוש הוא, ועי' ציון 119. ועי' ציון 205.</w:t>
      </w:r>
    </w:p>
  </w:footnote>
  <w:footnote w:id="445">
    <w:p w14:paraId="73B23D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445</w:t>
      </w:r>
      <w:r>
        <w:rPr>
          <w:rFonts w:ascii="David" w:hAnsi="David" w:cs="David"/>
          <w:sz w:val="24"/>
          <w:szCs w:val="24"/>
          <w:rtl/>
        </w:rPr>
        <w:t xml:space="preserve"> </w:t>
      </w:r>
      <w:r>
        <w:rPr>
          <w:rFonts w:ascii="David" w:hAnsi="David" w:cs="David"/>
          <w:color w:val="000000"/>
          <w:sz w:val="18"/>
          <w:szCs w:val="18"/>
          <w:rtl/>
        </w:rPr>
        <w:t>. עי' פרה שם מ"א - ד, ופהמ"ש לרמב"ם שם מ"א.</w:t>
      </w:r>
    </w:p>
  </w:footnote>
  <w:footnote w:id="446">
    <w:p w14:paraId="17E8C6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446</w:t>
      </w:r>
      <w:r>
        <w:rPr>
          <w:rFonts w:ascii="David" w:hAnsi="David" w:cs="David"/>
          <w:sz w:val="24"/>
          <w:szCs w:val="24"/>
          <w:rtl/>
        </w:rPr>
        <w:t xml:space="preserve"> </w:t>
      </w:r>
      <w:r>
        <w:rPr>
          <w:rFonts w:ascii="David" w:hAnsi="David" w:cs="David"/>
          <w:color w:val="000000"/>
          <w:sz w:val="18"/>
          <w:szCs w:val="18"/>
          <w:rtl/>
        </w:rPr>
        <w:t>. ציון 209 ואילך.</w:t>
      </w:r>
    </w:p>
  </w:footnote>
  <w:footnote w:id="447">
    <w:p w14:paraId="581681E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447</w:t>
      </w:r>
      <w:r>
        <w:rPr>
          <w:rFonts w:ascii="David" w:hAnsi="David" w:cs="David"/>
          <w:sz w:val="24"/>
          <w:szCs w:val="24"/>
          <w:rtl/>
        </w:rPr>
        <w:t xml:space="preserve"> </w:t>
      </w:r>
      <w:r>
        <w:rPr>
          <w:rFonts w:ascii="David" w:hAnsi="David" w:cs="David"/>
          <w:color w:val="000000"/>
          <w:sz w:val="18"/>
          <w:szCs w:val="18"/>
          <w:rtl/>
        </w:rPr>
        <w:t>. ע"ע טבול יום ציון 331 ואילך, וע"ע פרה אדומה. תפא"י פרה שם בועז אות ג וחזו"א פרה סי' ו ס"ק ד, ע"פ פרה שם מ"ד, ופהמ"ש לרמב"ם (ועי' ציון הבא) ורא"ש ורע"ב ובהגר"א שם, (ועי' רא"ש ובהגר"א שם, שמ' שמטמאים אף את הכלי שממלאים בו המים), ועי' חזו"א שם, שתמה למה כשר לכתחילה לקדש בכלים שאינם מק"ט, עי' להלן, ועי' תפא"י שם ואות א.</w:t>
      </w:r>
    </w:p>
  </w:footnote>
  <w:footnote w:id="448">
    <w:p w14:paraId="7282D4A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448</w:t>
      </w:r>
      <w:r>
        <w:rPr>
          <w:rFonts w:ascii="David" w:hAnsi="David" w:cs="David"/>
          <w:sz w:val="24"/>
          <w:szCs w:val="24"/>
          <w:rtl/>
        </w:rPr>
        <w:t xml:space="preserve"> </w:t>
      </w:r>
      <w:r>
        <w:rPr>
          <w:rFonts w:ascii="David" w:hAnsi="David" w:cs="David"/>
          <w:color w:val="000000"/>
          <w:sz w:val="18"/>
          <w:szCs w:val="18"/>
          <w:rtl/>
        </w:rPr>
        <w:t>. תפא"י אות ג שם, בד' רמב"ם פרה סופ"א (וסמ"ג עשין רלב), שהביא המשנה בכלי שנותן בו האפר, שחזר בו מדבריו בפהמ"ש, ועי' רמב"ם שם פ"י ה"ה. ועי' מים טהורים פרה פ"ג מ"ז, שצידד בזה, והוכיח ממשנה שבציון 942, ועי' תוי"ט שם פ"ה מ"ג ומים טהורים שם.</w:t>
      </w:r>
    </w:p>
  </w:footnote>
  <w:footnote w:id="449">
    <w:p w14:paraId="20252B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449</w:t>
      </w:r>
      <w:r>
        <w:rPr>
          <w:rFonts w:ascii="David" w:hAnsi="David" w:cs="David"/>
          <w:sz w:val="24"/>
          <w:szCs w:val="24"/>
          <w:rtl/>
        </w:rPr>
        <w:t xml:space="preserve"> </w:t>
      </w:r>
      <w:r>
        <w:rPr>
          <w:rFonts w:ascii="David" w:hAnsi="David" w:cs="David"/>
          <w:color w:val="000000"/>
          <w:sz w:val="18"/>
          <w:szCs w:val="18"/>
          <w:rtl/>
        </w:rPr>
        <w:t>. ע"ע כלים ציון 822.</w:t>
      </w:r>
    </w:p>
  </w:footnote>
  <w:footnote w:id="450">
    <w:p w14:paraId="4CFE66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450</w:t>
      </w:r>
      <w:r>
        <w:rPr>
          <w:rFonts w:ascii="David" w:hAnsi="David" w:cs="David"/>
          <w:sz w:val="24"/>
          <w:szCs w:val="24"/>
          <w:rtl/>
        </w:rPr>
        <w:t xml:space="preserve"> </w:t>
      </w:r>
      <w:r>
        <w:rPr>
          <w:rFonts w:ascii="David" w:hAnsi="David" w:cs="David"/>
          <w:color w:val="000000"/>
          <w:sz w:val="18"/>
          <w:szCs w:val="18"/>
          <w:rtl/>
        </w:rPr>
        <w:t>. ע"ע הנ"ל ציון 2474 ואילך. וע"ש ציון 671, שי"ס שזה החידוש שממלאים בספינה, ועי' תוי"ט פרה שם מ"ה בשם מהר"ם בפי' השני, ומשנ"א שם, ותפא"י בועז שם אות ה, ופתח האהל (קויפמאן) כלל ד סוס"י ו, שמפרשים בע"א, ועי' להלן ציונים 1000 ואילך, 1019.</w:t>
      </w:r>
    </w:p>
  </w:footnote>
  <w:footnote w:id="451">
    <w:p w14:paraId="56B41D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451</w:t>
      </w:r>
      <w:r>
        <w:rPr>
          <w:rFonts w:ascii="David" w:hAnsi="David" w:cs="David"/>
          <w:sz w:val="24"/>
          <w:szCs w:val="24"/>
          <w:rtl/>
        </w:rPr>
        <w:t xml:space="preserve"> </w:t>
      </w:r>
      <w:r>
        <w:rPr>
          <w:rFonts w:ascii="David" w:hAnsi="David" w:cs="David"/>
          <w:color w:val="000000"/>
          <w:sz w:val="18"/>
          <w:szCs w:val="18"/>
          <w:rtl/>
        </w:rPr>
        <w:t>. ציון 666 ואילך. וע"ש ציון 146, בכלי הבא במידה, וציון 346 בגלמי כלים, וציון 337 ואילך, לענין כלי שלא נגמרה מלאכתו, שי"ס שאע"פ שאינו כלי לענין קבלת טומאה חשוב כלי לענין קידוש. ועי' תוס' הרא"ש חולין ט ב, בשם ר' מרדכי, שאין מקדשים בכלי המק"ט, וחלק עליו, וכ"כ תוס' שם וסוכה לז א (ועי' רש"י שם, שאם אפשר היו עושים בכלי שאין מק"ט, ועי' רש"י יומא מג א ד"ה לקדש, ורש"ש שם) ויומא ב א וסמ"ג עשין רלב ועוד, ועי' ציון 1447.</w:t>
      </w:r>
    </w:p>
  </w:footnote>
  <w:footnote w:id="452">
    <w:p w14:paraId="56D80B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452</w:t>
      </w:r>
      <w:r>
        <w:rPr>
          <w:rFonts w:ascii="David" w:hAnsi="David" w:cs="David"/>
          <w:sz w:val="24"/>
          <w:szCs w:val="24"/>
          <w:rtl/>
        </w:rPr>
        <w:t xml:space="preserve"> </w:t>
      </w:r>
      <w:r>
        <w:rPr>
          <w:rFonts w:ascii="David" w:hAnsi="David" w:cs="David"/>
          <w:color w:val="000000"/>
          <w:sz w:val="18"/>
          <w:szCs w:val="18"/>
          <w:rtl/>
        </w:rPr>
        <w:t>. ציון 1706 ואילך. וע"ש ציונים 610, 664, 1997, 2011, 2047 ואילך, 2053.</w:t>
      </w:r>
    </w:p>
  </w:footnote>
  <w:footnote w:id="453">
    <w:p w14:paraId="394B561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453</w:t>
      </w:r>
      <w:r>
        <w:rPr>
          <w:rFonts w:ascii="David" w:hAnsi="David" w:cs="David"/>
          <w:sz w:val="24"/>
          <w:szCs w:val="24"/>
          <w:rtl/>
        </w:rPr>
        <w:t xml:space="preserve"> </w:t>
      </w:r>
      <w:r>
        <w:rPr>
          <w:rFonts w:ascii="David" w:hAnsi="David" w:cs="David"/>
          <w:color w:val="000000"/>
          <w:sz w:val="18"/>
          <w:szCs w:val="18"/>
          <w:rtl/>
        </w:rPr>
        <w:t>. ציונים 185 ואילך (וע"ש ציונים 258 ואילך, 1948), 1659, 1995 ואילך, 2066 ואילך, 2156 ואילך, 2457 ואילך. וע"ש ציון 92 ואילך (ולעיל ציון 380 ואילך) על כלי העשוי מדלעת, וציון 2057 ואילך, לענין קליפת ביצה.</w:t>
      </w:r>
    </w:p>
  </w:footnote>
  <w:footnote w:id="454">
    <w:p w14:paraId="1A330E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454</w:t>
      </w:r>
      <w:r>
        <w:rPr>
          <w:rFonts w:ascii="David" w:hAnsi="David" w:cs="David"/>
          <w:sz w:val="24"/>
          <w:szCs w:val="24"/>
          <w:rtl/>
        </w:rPr>
        <w:t xml:space="preserve"> </w:t>
      </w:r>
      <w:r>
        <w:rPr>
          <w:rFonts w:ascii="David" w:hAnsi="David" w:cs="David"/>
          <w:color w:val="000000"/>
          <w:sz w:val="18"/>
          <w:szCs w:val="18"/>
          <w:rtl/>
        </w:rPr>
        <w:t>. ציון 380 ואילך. ועי' לעיל ציון 265. על האופנים שב' השקתות חשובות ככלי אחד, או כב' כלים, ע"ע כלים ציון 446 ואילך. על דין מים שבסדק בין ב' כלים, ע"ע הנ"ל ציון 350 ואילך. ועי' חזו"א שם סי' יב ס"ק ב וה, שבאופנים שמחוברים המים למים שאינם מקודשים, נפסלים כולם, וכעי"ז בא"ר פרה פ"ה מ"ט ובבית דוד שם, ועי' שושנים לדוד שם.</w:t>
      </w:r>
    </w:p>
  </w:footnote>
  <w:footnote w:id="455">
    <w:p w14:paraId="33B54D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455</w:t>
      </w:r>
      <w:r>
        <w:rPr>
          <w:rFonts w:ascii="David" w:hAnsi="David" w:cs="David"/>
          <w:sz w:val="24"/>
          <w:szCs w:val="24"/>
          <w:rtl/>
        </w:rPr>
        <w:t xml:space="preserve"> </w:t>
      </w:r>
      <w:r>
        <w:rPr>
          <w:rFonts w:ascii="David" w:hAnsi="David" w:cs="David"/>
          <w:color w:val="000000"/>
          <w:sz w:val="18"/>
          <w:szCs w:val="18"/>
          <w:rtl/>
        </w:rPr>
        <w:t>. עי' פרה פ"ג מ"ג, ורע"ב שם פ"ד מ"ד; ברייתא סוטה טז ב; רמב"ם פרה פ"ט ה"א.</w:t>
      </w:r>
    </w:p>
  </w:footnote>
  <w:footnote w:id="456">
    <w:p w14:paraId="4D7CCB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456</w:t>
      </w:r>
      <w:r>
        <w:rPr>
          <w:rFonts w:ascii="David" w:hAnsi="David" w:cs="David"/>
          <w:sz w:val="24"/>
          <w:szCs w:val="24"/>
          <w:rtl/>
        </w:rPr>
        <w:t xml:space="preserve"> </w:t>
      </w:r>
      <w:r>
        <w:rPr>
          <w:rFonts w:ascii="David" w:hAnsi="David" w:cs="David"/>
          <w:color w:val="000000"/>
          <w:sz w:val="18"/>
          <w:szCs w:val="18"/>
          <w:rtl/>
        </w:rPr>
        <w:t>. ע"ע סוטה.</w:t>
      </w:r>
    </w:p>
  </w:footnote>
  <w:footnote w:id="457">
    <w:p w14:paraId="479703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457</w:t>
      </w:r>
      <w:r>
        <w:rPr>
          <w:rFonts w:ascii="David" w:hAnsi="David" w:cs="David"/>
          <w:sz w:val="24"/>
          <w:szCs w:val="24"/>
          <w:rtl/>
        </w:rPr>
        <w:t xml:space="preserve"> </w:t>
      </w:r>
      <w:r>
        <w:rPr>
          <w:rFonts w:ascii="David" w:hAnsi="David" w:cs="David"/>
          <w:color w:val="000000"/>
          <w:sz w:val="18"/>
          <w:szCs w:val="18"/>
          <w:rtl/>
        </w:rPr>
        <w:t>. עי' לעיל ציון 412. רש"י סוטה שם ד"ה ואפר.</w:t>
      </w:r>
    </w:p>
  </w:footnote>
  <w:footnote w:id="458">
    <w:p w14:paraId="077B97B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458</w:t>
      </w:r>
      <w:r>
        <w:rPr>
          <w:rFonts w:ascii="David" w:hAnsi="David" w:cs="David"/>
          <w:sz w:val="24"/>
          <w:szCs w:val="24"/>
          <w:rtl/>
        </w:rPr>
        <w:t xml:space="preserve"> </w:t>
      </w:r>
      <w:r>
        <w:rPr>
          <w:rFonts w:ascii="David" w:hAnsi="David" w:cs="David"/>
          <w:color w:val="000000"/>
          <w:sz w:val="18"/>
          <w:szCs w:val="18"/>
          <w:rtl/>
        </w:rPr>
        <w:t>. עי' חזו"א פרה סי' יא ס"ק יב, ועי' רמב"ם שם: אף על פי שהיא חבית גדולה.</w:t>
      </w:r>
    </w:p>
  </w:footnote>
  <w:footnote w:id="459">
    <w:p w14:paraId="2B771E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459</w:t>
      </w:r>
      <w:r>
        <w:rPr>
          <w:rFonts w:ascii="David" w:hAnsi="David" w:cs="David"/>
          <w:sz w:val="24"/>
          <w:szCs w:val="24"/>
          <w:rtl/>
        </w:rPr>
        <w:t xml:space="preserve"> </w:t>
      </w:r>
      <w:r>
        <w:rPr>
          <w:rFonts w:ascii="David" w:hAnsi="David" w:cs="David"/>
          <w:color w:val="000000"/>
          <w:sz w:val="18"/>
          <w:szCs w:val="18"/>
          <w:rtl/>
        </w:rPr>
        <w:t>. עי' ציון 514.</w:t>
      </w:r>
    </w:p>
  </w:footnote>
  <w:footnote w:id="460">
    <w:p w14:paraId="13D7B74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460</w:t>
      </w:r>
      <w:r>
        <w:rPr>
          <w:rFonts w:ascii="David" w:hAnsi="David" w:cs="David"/>
          <w:sz w:val="24"/>
          <w:szCs w:val="24"/>
          <w:rtl/>
        </w:rPr>
        <w:t xml:space="preserve"> </w:t>
      </w:r>
      <w:r>
        <w:rPr>
          <w:rFonts w:ascii="David" w:hAnsi="David" w:cs="David"/>
          <w:color w:val="000000"/>
          <w:sz w:val="18"/>
          <w:szCs w:val="18"/>
          <w:rtl/>
        </w:rPr>
        <w:t>. תפא"י שם פ"ה אות עא ובועז שם פ"ג אות ה, ועי' להלן.</w:t>
      </w:r>
    </w:p>
  </w:footnote>
  <w:footnote w:id="461">
    <w:p w14:paraId="559F24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461</w:t>
      </w:r>
      <w:r>
        <w:rPr>
          <w:rFonts w:ascii="David" w:hAnsi="David" w:cs="David"/>
          <w:sz w:val="24"/>
          <w:szCs w:val="24"/>
          <w:rtl/>
        </w:rPr>
        <w:t xml:space="preserve"> </w:t>
      </w:r>
      <w:r>
        <w:rPr>
          <w:rFonts w:ascii="David" w:hAnsi="David" w:cs="David"/>
          <w:color w:val="000000"/>
          <w:sz w:val="18"/>
          <w:szCs w:val="18"/>
          <w:rtl/>
        </w:rPr>
        <w:t>. תפא"י דלהלן. וכ"מ במאירי סוטה יד א, לענין מי סוטה: שיהא נראה וניכר על פני המים, וע"ש טז ב, שדין מי חטאת לענין זה כדין מי סוטה.</w:t>
      </w:r>
    </w:p>
  </w:footnote>
  <w:footnote w:id="462">
    <w:p w14:paraId="553585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462</w:t>
      </w:r>
      <w:r>
        <w:rPr>
          <w:rFonts w:ascii="David" w:hAnsi="David" w:cs="David"/>
          <w:sz w:val="24"/>
          <w:szCs w:val="24"/>
          <w:rtl/>
        </w:rPr>
        <w:t xml:space="preserve"> </w:t>
      </w:r>
      <w:r>
        <w:rPr>
          <w:rFonts w:ascii="David" w:hAnsi="David" w:cs="David"/>
          <w:color w:val="000000"/>
          <w:sz w:val="18"/>
          <w:szCs w:val="18"/>
          <w:rtl/>
        </w:rPr>
        <w:t>. עי' תפא"י בועז שם, ועי' יכין פ"ה שם שנקט כצד זה.</w:t>
      </w:r>
    </w:p>
  </w:footnote>
  <w:footnote w:id="463">
    <w:p w14:paraId="0154DC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463</w:t>
      </w:r>
      <w:r>
        <w:rPr>
          <w:rFonts w:ascii="David" w:hAnsi="David" w:cs="David"/>
          <w:sz w:val="24"/>
          <w:szCs w:val="24"/>
          <w:rtl/>
        </w:rPr>
        <w:t xml:space="preserve"> </w:t>
      </w:r>
      <w:r>
        <w:rPr>
          <w:rFonts w:ascii="David" w:hAnsi="David" w:cs="David"/>
          <w:color w:val="000000"/>
          <w:sz w:val="18"/>
          <w:szCs w:val="18"/>
          <w:rtl/>
        </w:rPr>
        <w:t>. במדבר יט יז. עי' תוס' סוכה לז ב ד"ה אמאי, שתמהו (לגי' ראשונים שבציון 492 בגמ' שם) למה לא למדו שלקיחה ע"י ד"א שמה לקיחה, מלקיחת האפר שנעשתה בשפופרת, ונאמר ולקחו לטמא וגו', וחזו"א פרה סי' יב ס"ק ט, בדעתם, ועי' להלן; עי' רא"ה וריטב"א שם, שאף לגי' הנ"ל בגמ' שם, צריך שתהא לקיחה, ושתהא לקיחה תמה, והלוקח ע"י שפופרת אינו כשר אלא מדין לקיחה ע"י ד"א, וכעי"ז בשו"ת חת"ס יו"ד ח"ב סי' קיח; עי' לח"מ לולב פ"ז הי"א.</w:t>
      </w:r>
    </w:p>
  </w:footnote>
  <w:footnote w:id="464">
    <w:p w14:paraId="2FA60C2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464</w:t>
      </w:r>
      <w:r>
        <w:rPr>
          <w:rFonts w:ascii="David" w:hAnsi="David" w:cs="David"/>
          <w:sz w:val="24"/>
          <w:szCs w:val="24"/>
          <w:rtl/>
        </w:rPr>
        <w:t xml:space="preserve"> </w:t>
      </w:r>
      <w:r>
        <w:rPr>
          <w:rFonts w:ascii="David" w:hAnsi="David" w:cs="David"/>
          <w:color w:val="000000"/>
          <w:sz w:val="18"/>
          <w:szCs w:val="18"/>
          <w:rtl/>
        </w:rPr>
        <w:t>. חזו"א שם.</w:t>
      </w:r>
    </w:p>
  </w:footnote>
  <w:footnote w:id="465">
    <w:p w14:paraId="102D93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465</w:t>
      </w:r>
      <w:r>
        <w:rPr>
          <w:rFonts w:ascii="David" w:hAnsi="David" w:cs="David"/>
          <w:sz w:val="24"/>
          <w:szCs w:val="24"/>
          <w:rtl/>
        </w:rPr>
        <w:t xml:space="preserve"> </w:t>
      </w:r>
      <w:r>
        <w:rPr>
          <w:rFonts w:ascii="David" w:hAnsi="David" w:cs="David"/>
          <w:color w:val="000000"/>
          <w:sz w:val="18"/>
          <w:szCs w:val="18"/>
          <w:rtl/>
        </w:rPr>
        <w:t>. עי' תוס' שם, שפי' גמ' שבציון 509, שמועיל לקח אחד ונתן אחר, שהיינו לקח אחד האפר ונתן אחר במים, וחזו"א שם בדעתם, ועי' ציונים 486, 510, 526 ואילך, שי"מ גמ' שם באופ"א, וצ"ב אם הם סוברים שא"צ לקיחת האפר (ועי' להלן), או שהיה פשוט להם שמועיל ע"י אחר (ודוקא בעירוב האפר צריך לימוד), או שאף אחר הכתוב אינו מועיל ע"י אחר (ודוקא מילוי שהוא מעשה אחר, מועיל ע"י אחר). ועי' הג' הב"ח שגרס בתוס': ויהיב חד ממים, וכעי"ז בדבש תמר שם, ולכאו' כוונתם שאחר מילא המים, וכפי' הראשונים שבציון 510, וכ"מ בתוס' שם, שהרי באו להוכיח שהכתוב "ונתן" מדבר על נתינת המים, וצ"ב.</w:t>
      </w:r>
    </w:p>
  </w:footnote>
  <w:footnote w:id="466">
    <w:p w14:paraId="3F8479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466</w:t>
      </w:r>
      <w:r>
        <w:rPr>
          <w:rFonts w:ascii="David" w:hAnsi="David" w:cs="David"/>
          <w:sz w:val="24"/>
          <w:szCs w:val="24"/>
          <w:rtl/>
        </w:rPr>
        <w:t xml:space="preserve"> </w:t>
      </w:r>
      <w:r>
        <w:rPr>
          <w:rFonts w:ascii="David" w:hAnsi="David" w:cs="David"/>
          <w:color w:val="000000"/>
          <w:sz w:val="18"/>
          <w:szCs w:val="18"/>
          <w:rtl/>
        </w:rPr>
        <w:t>. חזו"א שם. ועי' ציון 487.</w:t>
      </w:r>
    </w:p>
  </w:footnote>
  <w:footnote w:id="467">
    <w:p w14:paraId="582EC5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467</w:t>
      </w:r>
      <w:r>
        <w:rPr>
          <w:rFonts w:ascii="David" w:hAnsi="David" w:cs="David"/>
          <w:sz w:val="24"/>
          <w:szCs w:val="24"/>
          <w:rtl/>
        </w:rPr>
        <w:t xml:space="preserve"> </w:t>
      </w:r>
      <w:r>
        <w:rPr>
          <w:rFonts w:ascii="David" w:hAnsi="David" w:cs="David"/>
          <w:color w:val="000000"/>
          <w:sz w:val="18"/>
          <w:szCs w:val="18"/>
          <w:rtl/>
        </w:rPr>
        <w:t>. חזו"א שם.</w:t>
      </w:r>
    </w:p>
  </w:footnote>
  <w:footnote w:id="468">
    <w:p w14:paraId="156129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468</w:t>
      </w:r>
      <w:r>
        <w:rPr>
          <w:rFonts w:ascii="David" w:hAnsi="David" w:cs="David"/>
          <w:sz w:val="24"/>
          <w:szCs w:val="24"/>
          <w:rtl/>
        </w:rPr>
        <w:t xml:space="preserve"> </w:t>
      </w:r>
      <w:r>
        <w:rPr>
          <w:rFonts w:ascii="David" w:hAnsi="David" w:cs="David"/>
          <w:color w:val="000000"/>
          <w:sz w:val="18"/>
          <w:szCs w:val="18"/>
          <w:rtl/>
        </w:rPr>
        <w:t>. ציון 19 ואילך, ועי' לעיל.</w:t>
      </w:r>
    </w:p>
  </w:footnote>
  <w:footnote w:id="469">
    <w:p w14:paraId="4B7C367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469</w:t>
      </w:r>
      <w:r>
        <w:rPr>
          <w:rFonts w:ascii="David" w:hAnsi="David" w:cs="David"/>
          <w:sz w:val="24"/>
          <w:szCs w:val="24"/>
          <w:rtl/>
        </w:rPr>
        <w:t xml:space="preserve"> </w:t>
      </w:r>
      <w:r>
        <w:rPr>
          <w:rFonts w:ascii="David" w:hAnsi="David" w:cs="David"/>
          <w:color w:val="000000"/>
          <w:sz w:val="18"/>
          <w:szCs w:val="18"/>
          <w:rtl/>
        </w:rPr>
        <w:t>. ציון 43 ואילך, ועי' לעיל.</w:t>
      </w:r>
    </w:p>
  </w:footnote>
  <w:footnote w:id="470">
    <w:p w14:paraId="774151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470</w:t>
      </w:r>
      <w:r>
        <w:rPr>
          <w:rFonts w:ascii="David" w:hAnsi="David" w:cs="David"/>
          <w:sz w:val="24"/>
          <w:szCs w:val="24"/>
          <w:rtl/>
        </w:rPr>
        <w:t xml:space="preserve"> </w:t>
      </w:r>
      <w:r>
        <w:rPr>
          <w:rFonts w:ascii="David" w:hAnsi="David" w:cs="David"/>
          <w:color w:val="000000"/>
          <w:sz w:val="18"/>
          <w:szCs w:val="18"/>
          <w:rtl/>
        </w:rPr>
        <w:t>. חזו"א שם, בד' תוס' יבמות עב ב ד"ה דשקיל, שלא פי' גמ' שבציון 465 כתוס' שם, אלא שנתן אחד האפר ועירבו אחר במים, עי' ציון 526 ואילך, (ושם וציון 510, מראשונים נוספים שפי' בע"א), שהוא משום שלדעתם א"צ לקיחה, ועי' לעיל, ועי' חזו"א שם סי' יא ס"ק יא, ושם בד' תוס' יומא מג א. ועי' חזו"א סי' יב שם, שלדבריהם יש לגרוס כראשונים שבציון 492 בגמ' שם, שלמדים לקיחה ע"י ד"א מנתינת האפר, שאין ללמוד מלקיחתו, שלקיחתו אינה חיוב.</w:t>
      </w:r>
    </w:p>
  </w:footnote>
  <w:footnote w:id="471">
    <w:p w14:paraId="1FD64F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471</w:t>
      </w:r>
      <w:r>
        <w:rPr>
          <w:rFonts w:ascii="David" w:hAnsi="David" w:cs="David"/>
          <w:sz w:val="24"/>
          <w:szCs w:val="24"/>
          <w:rtl/>
        </w:rPr>
        <w:t xml:space="preserve"> </w:t>
      </w:r>
      <w:r>
        <w:rPr>
          <w:rFonts w:ascii="David" w:hAnsi="David" w:cs="David"/>
          <w:color w:val="000000"/>
          <w:sz w:val="18"/>
          <w:szCs w:val="18"/>
          <w:rtl/>
        </w:rPr>
        <w:t>. חזו"א שם.</w:t>
      </w:r>
    </w:p>
  </w:footnote>
  <w:footnote w:id="472">
    <w:p w14:paraId="7BC31F8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472</w:t>
      </w:r>
      <w:r>
        <w:rPr>
          <w:rFonts w:ascii="David" w:hAnsi="David" w:cs="David"/>
          <w:sz w:val="24"/>
          <w:szCs w:val="24"/>
          <w:rtl/>
        </w:rPr>
        <w:t xml:space="preserve"> </w:t>
      </w:r>
      <w:r>
        <w:rPr>
          <w:rFonts w:ascii="David" w:hAnsi="David" w:cs="David"/>
          <w:color w:val="000000"/>
          <w:sz w:val="18"/>
          <w:szCs w:val="18"/>
          <w:rtl/>
        </w:rPr>
        <w:t>. עי' סנהדרין עז ב: למימרא דכהאי גוונא כחו הוא וכו', ופהמ"ש לרמב"ם ור"ש ורע"ב ותפא"י פרה פ"ו מ"א, בטעם משנה דלהלן; עי' סוכה לז ב: הא הפילו הוא כשר, אמאי, ולקחו ונתן וכו', וע"ש (לגי' הראשונים שבציון 492) שדייקה הגמ' מכך שנתינה ע"י ד"א שמה נתינה, ועי' תורה תמימה במדבר יט הערה צד, שהיינו מפני שצריך נתינה מכח האדם, וכ"מ בראשונים שבציון 474; עי' ראשונים ואחרונים דלהלן. ועי' ציון 495.</w:t>
      </w:r>
    </w:p>
  </w:footnote>
  <w:footnote w:id="473">
    <w:p w14:paraId="079EB35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473</w:t>
      </w:r>
      <w:r>
        <w:rPr>
          <w:rFonts w:ascii="David" w:hAnsi="David" w:cs="David"/>
          <w:sz w:val="24"/>
          <w:szCs w:val="24"/>
          <w:rtl/>
        </w:rPr>
        <w:t xml:space="preserve"> </w:t>
      </w:r>
      <w:r>
        <w:rPr>
          <w:rFonts w:ascii="David" w:hAnsi="David" w:cs="David"/>
          <w:color w:val="000000"/>
          <w:sz w:val="18"/>
          <w:szCs w:val="18"/>
          <w:rtl/>
        </w:rPr>
        <w:t>. במדבר יט יז.</w:t>
      </w:r>
    </w:p>
  </w:footnote>
  <w:footnote w:id="474">
    <w:p w14:paraId="6E5253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474</w:t>
      </w:r>
      <w:r>
        <w:rPr>
          <w:rFonts w:ascii="David" w:hAnsi="David" w:cs="David"/>
          <w:sz w:val="24"/>
          <w:szCs w:val="24"/>
          <w:rtl/>
        </w:rPr>
        <w:t xml:space="preserve"> </w:t>
      </w:r>
      <w:r>
        <w:rPr>
          <w:rFonts w:ascii="David" w:hAnsi="David" w:cs="David"/>
          <w:color w:val="000000"/>
          <w:sz w:val="18"/>
          <w:szCs w:val="18"/>
          <w:rtl/>
        </w:rPr>
        <w:t>. שם. עי' פהמ"ש שם; ר"ש שם; רע"ב שם; תפא"י שם. ועי' משנ"א שם, שהיינו ע"פ סוכה שם: הא הפילו הוא כשר, אמאי, ולקחו ונתן וכו', ועי' ציון 472. ועי' רש"י שבציון 482. ועי' ציון הבא.</w:t>
      </w:r>
    </w:p>
  </w:footnote>
  <w:footnote w:id="475">
    <w:p w14:paraId="674A6E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475</w:t>
      </w:r>
      <w:r>
        <w:rPr>
          <w:rFonts w:ascii="David" w:hAnsi="David" w:cs="David"/>
          <w:sz w:val="24"/>
          <w:szCs w:val="24"/>
          <w:rtl/>
        </w:rPr>
        <w:t xml:space="preserve"> </w:t>
      </w:r>
      <w:r>
        <w:rPr>
          <w:rFonts w:ascii="David" w:hAnsi="David" w:cs="David"/>
          <w:color w:val="000000"/>
          <w:sz w:val="18"/>
          <w:szCs w:val="18"/>
          <w:rtl/>
        </w:rPr>
        <w:t>. משנ"א שם. וע"ש שמהכתוב "ונתן" לבד אפשר ללמוד, ולא נקטו "ולקחו" אלא מפני שכן ל' גמ' סוכה שם: הא הפילו הוא כשר, אמאי, ולקחו ונתן וכו'.</w:t>
      </w:r>
    </w:p>
  </w:footnote>
  <w:footnote w:id="476">
    <w:p w14:paraId="2D773F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476</w:t>
      </w:r>
      <w:r>
        <w:rPr>
          <w:rFonts w:ascii="David" w:hAnsi="David" w:cs="David"/>
          <w:sz w:val="24"/>
          <w:szCs w:val="24"/>
          <w:rtl/>
        </w:rPr>
        <w:t xml:space="preserve"> </w:t>
      </w:r>
      <w:r>
        <w:rPr>
          <w:rFonts w:ascii="David" w:hAnsi="David" w:cs="David"/>
          <w:color w:val="000000"/>
          <w:sz w:val="18"/>
          <w:szCs w:val="18"/>
          <w:rtl/>
        </w:rPr>
        <w:t>. תפא"י פרה שם.</w:t>
      </w:r>
    </w:p>
  </w:footnote>
  <w:footnote w:id="477">
    <w:p w14:paraId="52C7C5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477</w:t>
      </w:r>
      <w:r>
        <w:rPr>
          <w:rFonts w:ascii="David" w:hAnsi="David" w:cs="David"/>
          <w:sz w:val="24"/>
          <w:szCs w:val="24"/>
          <w:rtl/>
        </w:rPr>
        <w:t xml:space="preserve"> </w:t>
      </w:r>
      <w:r>
        <w:rPr>
          <w:rFonts w:ascii="David" w:hAnsi="David" w:cs="David"/>
          <w:color w:val="000000"/>
          <w:sz w:val="18"/>
          <w:szCs w:val="18"/>
          <w:rtl/>
        </w:rPr>
        <w:t>. משנה פרה שם; רמב"ם פרה פ"ט ה"ב.</w:t>
      </w:r>
    </w:p>
  </w:footnote>
  <w:footnote w:id="478">
    <w:p w14:paraId="5503022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478</w:t>
      </w:r>
      <w:r>
        <w:rPr>
          <w:rFonts w:ascii="David" w:hAnsi="David" w:cs="David"/>
          <w:sz w:val="24"/>
          <w:szCs w:val="24"/>
          <w:rtl/>
        </w:rPr>
        <w:t xml:space="preserve"> </w:t>
      </w:r>
      <w:r>
        <w:rPr>
          <w:rFonts w:ascii="David" w:hAnsi="David" w:cs="David"/>
          <w:color w:val="000000"/>
          <w:sz w:val="18"/>
          <w:szCs w:val="18"/>
          <w:rtl/>
        </w:rPr>
        <w:t>. עי' סנהדרין שם, ופהמ"ש ור"ש ורע"ב ותפא"י פרה שם.</w:t>
      </w:r>
    </w:p>
  </w:footnote>
  <w:footnote w:id="479">
    <w:p w14:paraId="6F7769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479</w:t>
      </w:r>
      <w:r>
        <w:rPr>
          <w:rFonts w:ascii="David" w:hAnsi="David" w:cs="David"/>
          <w:sz w:val="24"/>
          <w:szCs w:val="24"/>
          <w:rtl/>
        </w:rPr>
        <w:t xml:space="preserve"> </w:t>
      </w:r>
      <w:r>
        <w:rPr>
          <w:rFonts w:ascii="David" w:hAnsi="David" w:cs="David"/>
          <w:color w:val="000000"/>
          <w:sz w:val="18"/>
          <w:szCs w:val="18"/>
          <w:rtl/>
        </w:rPr>
        <w:t>. ר"ש ותפא"י שם, ע"פ סנהדרין שם: בשותת, ורש"י שם.</w:t>
      </w:r>
    </w:p>
  </w:footnote>
  <w:footnote w:id="480">
    <w:p w14:paraId="532804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480</w:t>
      </w:r>
      <w:r>
        <w:rPr>
          <w:rFonts w:ascii="David" w:hAnsi="David" w:cs="David"/>
          <w:sz w:val="24"/>
          <w:szCs w:val="24"/>
          <w:rtl/>
        </w:rPr>
        <w:t xml:space="preserve"> </w:t>
      </w:r>
      <w:r>
        <w:rPr>
          <w:rFonts w:ascii="David" w:hAnsi="David" w:cs="David"/>
          <w:color w:val="000000"/>
          <w:sz w:val="18"/>
          <w:szCs w:val="18"/>
          <w:rtl/>
        </w:rPr>
        <w:t>. משנה שם.</w:t>
      </w:r>
    </w:p>
  </w:footnote>
  <w:footnote w:id="481">
    <w:p w14:paraId="4132A3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481</w:t>
      </w:r>
      <w:r>
        <w:rPr>
          <w:rFonts w:ascii="David" w:hAnsi="David" w:cs="David"/>
          <w:sz w:val="24"/>
          <w:szCs w:val="24"/>
          <w:rtl/>
        </w:rPr>
        <w:t xml:space="preserve"> </w:t>
      </w:r>
      <w:r>
        <w:rPr>
          <w:rFonts w:ascii="David" w:hAnsi="David" w:cs="David"/>
          <w:color w:val="000000"/>
          <w:sz w:val="18"/>
          <w:szCs w:val="18"/>
          <w:rtl/>
        </w:rPr>
        <w:t>. עי' מאירי סוכה שם א; עי' ריטב"א שם ב: וכ"ש נפל דלא אתא מכחו כלל. ועי' תורה תמימה שם. ועי' רש"י דלהלן. ועי' ערל"נ שבציון 494, שבנפל מאליו יש לפסול אף מטעם אחר.</w:t>
      </w:r>
    </w:p>
  </w:footnote>
  <w:footnote w:id="482">
    <w:p w14:paraId="4EC986A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482</w:t>
      </w:r>
      <w:r>
        <w:rPr>
          <w:rFonts w:ascii="David" w:hAnsi="David" w:cs="David"/>
          <w:sz w:val="24"/>
          <w:szCs w:val="24"/>
          <w:rtl/>
        </w:rPr>
        <w:t xml:space="preserve"> </w:t>
      </w:r>
      <w:r>
        <w:rPr>
          <w:rFonts w:ascii="David" w:hAnsi="David" w:cs="David"/>
          <w:color w:val="000000"/>
          <w:sz w:val="18"/>
          <w:szCs w:val="18"/>
          <w:rtl/>
        </w:rPr>
        <w:t>. עי' רש"י סוכה שם ד"ה נפל, בביאור משנה שבציון 480, שהיינו בנפל שלא במתכוין, ופסול מטעם "ולקחו, ונתן", שיהא לוקח בידו ונותן, ועי' תורה תמימה שם, שהיינו כשנפל ע"י מעשיו. ועי' רמב"ם פרה פ"ט ה"ב: המקדש צריך שיתכוין ויתן האפר בידו על המים, ומ' שצריך כוונה למעשה, וכ"מ מסוף ההלכה, שהביא ע"ז את דין המשנה שבציון 477, שפסול מפני שאינו מכוחו, ועי' ציון 494, שי"מ לענין כוונה לקידוש. ועי' ציון 495.</w:t>
      </w:r>
    </w:p>
  </w:footnote>
  <w:footnote w:id="483">
    <w:p w14:paraId="2440D1C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483</w:t>
      </w:r>
      <w:r>
        <w:rPr>
          <w:rFonts w:ascii="David" w:hAnsi="David" w:cs="David"/>
          <w:sz w:val="24"/>
          <w:szCs w:val="24"/>
          <w:rtl/>
        </w:rPr>
        <w:t xml:space="preserve"> </w:t>
      </w:r>
      <w:r>
        <w:rPr>
          <w:rFonts w:ascii="David" w:hAnsi="David" w:cs="David"/>
          <w:color w:val="000000"/>
          <w:sz w:val="18"/>
          <w:szCs w:val="18"/>
          <w:rtl/>
        </w:rPr>
        <w:t>. ציון 494 ואילך.</w:t>
      </w:r>
    </w:p>
  </w:footnote>
  <w:footnote w:id="484">
    <w:p w14:paraId="65BB74F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484</w:t>
      </w:r>
      <w:r>
        <w:rPr>
          <w:rFonts w:ascii="David" w:hAnsi="David" w:cs="David"/>
          <w:sz w:val="24"/>
          <w:szCs w:val="24"/>
          <w:rtl/>
        </w:rPr>
        <w:t xml:space="preserve"> </w:t>
      </w:r>
      <w:r>
        <w:rPr>
          <w:rFonts w:ascii="David" w:hAnsi="David" w:cs="David"/>
          <w:color w:val="000000"/>
          <w:sz w:val="18"/>
          <w:szCs w:val="18"/>
          <w:rtl/>
        </w:rPr>
        <w:t>. ציונים 210 ואילך, 750 ואילך.</w:t>
      </w:r>
    </w:p>
  </w:footnote>
  <w:footnote w:id="485">
    <w:p w14:paraId="6383D7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485</w:t>
      </w:r>
      <w:r>
        <w:rPr>
          <w:rFonts w:ascii="David" w:hAnsi="David" w:cs="David"/>
          <w:sz w:val="24"/>
          <w:szCs w:val="24"/>
          <w:rtl/>
        </w:rPr>
        <w:t xml:space="preserve"> </w:t>
      </w:r>
      <w:r>
        <w:rPr>
          <w:rFonts w:ascii="David" w:hAnsi="David" w:cs="David"/>
          <w:color w:val="000000"/>
          <w:sz w:val="18"/>
          <w:szCs w:val="18"/>
          <w:rtl/>
        </w:rPr>
        <w:t>. עי' בכו"י סי' תרנא ס"ק יח. ועי' כפ"ת סוכה לז א: לכתחלה צריך שיתן האפר בידו ממש ולא ע"י שפופרת, וצ"ב אם כוונתו אף למעט שאר גופו, או למעט ע"י ד"א בלבד, עי' להלן.</w:t>
      </w:r>
    </w:p>
  </w:footnote>
  <w:footnote w:id="486">
    <w:p w14:paraId="53E61ED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486</w:t>
      </w:r>
      <w:r>
        <w:rPr>
          <w:rFonts w:ascii="David" w:hAnsi="David" w:cs="David"/>
          <w:sz w:val="24"/>
          <w:szCs w:val="24"/>
          <w:rtl/>
        </w:rPr>
        <w:t xml:space="preserve"> </w:t>
      </w:r>
      <w:r>
        <w:rPr>
          <w:rFonts w:ascii="David" w:hAnsi="David" w:cs="David"/>
          <w:color w:val="000000"/>
          <w:sz w:val="18"/>
          <w:szCs w:val="18"/>
          <w:rtl/>
        </w:rPr>
        <w:t>. רש"ש יומא מג א, בד' תו"י שם, בביאור גמ' שבציון 509, ועי' ציונים 465, 510, 528, שי"מ גמ' שם בע"א, וצ"ב אם חולקים בדין.</w:t>
      </w:r>
    </w:p>
  </w:footnote>
  <w:footnote w:id="487">
    <w:p w14:paraId="3E3B42A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487</w:t>
      </w:r>
      <w:r>
        <w:rPr>
          <w:rFonts w:ascii="David" w:hAnsi="David" w:cs="David"/>
          <w:sz w:val="24"/>
          <w:szCs w:val="24"/>
          <w:rtl/>
        </w:rPr>
        <w:t xml:space="preserve"> </w:t>
      </w:r>
      <w:r>
        <w:rPr>
          <w:rFonts w:ascii="David" w:hAnsi="David" w:cs="David"/>
          <w:color w:val="000000"/>
          <w:sz w:val="18"/>
          <w:szCs w:val="18"/>
          <w:rtl/>
        </w:rPr>
        <w:t>. עי' ציון 470.</w:t>
      </w:r>
    </w:p>
  </w:footnote>
  <w:footnote w:id="488">
    <w:p w14:paraId="0279D5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488</w:t>
      </w:r>
      <w:r>
        <w:rPr>
          <w:rFonts w:ascii="David" w:hAnsi="David" w:cs="David"/>
          <w:sz w:val="24"/>
          <w:szCs w:val="24"/>
          <w:rtl/>
        </w:rPr>
        <w:t xml:space="preserve"> </w:t>
      </w:r>
      <w:r>
        <w:rPr>
          <w:rFonts w:ascii="David" w:hAnsi="David" w:cs="David"/>
          <w:color w:val="000000"/>
          <w:sz w:val="18"/>
          <w:szCs w:val="18"/>
          <w:rtl/>
        </w:rPr>
        <w:t>. חזו"א פרה סי' יב ס"ק ט.</w:t>
      </w:r>
    </w:p>
  </w:footnote>
  <w:footnote w:id="489">
    <w:p w14:paraId="1709AD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489</w:t>
      </w:r>
      <w:r>
        <w:rPr>
          <w:rFonts w:ascii="David" w:hAnsi="David" w:cs="David"/>
          <w:sz w:val="24"/>
          <w:szCs w:val="24"/>
          <w:rtl/>
        </w:rPr>
        <w:t xml:space="preserve"> </w:t>
      </w:r>
      <w:r>
        <w:rPr>
          <w:rFonts w:ascii="David" w:hAnsi="David" w:cs="David"/>
          <w:color w:val="000000"/>
          <w:sz w:val="18"/>
          <w:szCs w:val="18"/>
          <w:rtl/>
        </w:rPr>
        <w:t>. רש"י דלהלן.</w:t>
      </w:r>
    </w:p>
  </w:footnote>
  <w:footnote w:id="490">
    <w:p w14:paraId="694902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490</w:t>
      </w:r>
      <w:r>
        <w:rPr>
          <w:rFonts w:ascii="David" w:hAnsi="David" w:cs="David"/>
          <w:sz w:val="24"/>
          <w:szCs w:val="24"/>
          <w:rtl/>
        </w:rPr>
        <w:t xml:space="preserve"> </w:t>
      </w:r>
      <w:r>
        <w:rPr>
          <w:rFonts w:ascii="David" w:hAnsi="David" w:cs="David"/>
          <w:color w:val="000000"/>
          <w:sz w:val="18"/>
          <w:szCs w:val="18"/>
          <w:rtl/>
        </w:rPr>
        <w:t>. עי' סוכה שם ב ורש"י ד"ה הא.</w:t>
      </w:r>
    </w:p>
  </w:footnote>
  <w:footnote w:id="491">
    <w:p w14:paraId="30EB9F0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491</w:t>
      </w:r>
      <w:r>
        <w:rPr>
          <w:rFonts w:ascii="David" w:hAnsi="David" w:cs="David"/>
          <w:sz w:val="24"/>
          <w:szCs w:val="24"/>
          <w:rtl/>
        </w:rPr>
        <w:t xml:space="preserve"> </w:t>
      </w:r>
      <w:r>
        <w:rPr>
          <w:rFonts w:ascii="David" w:hAnsi="David" w:cs="David"/>
          <w:color w:val="000000"/>
          <w:sz w:val="18"/>
          <w:szCs w:val="18"/>
          <w:rtl/>
        </w:rPr>
        <w:t>. עי' להלן שהוצרכו לומר שנתינה ע"י ד"א מועילה, וריטב"א שם, שבדבר שאין כתוב בו נתינה ודאי כשר בכל דבר, ועי' ציון 493, שי"ס שלכתחילה אין ליתן ע"י ד"א.</w:t>
      </w:r>
    </w:p>
  </w:footnote>
  <w:footnote w:id="492">
    <w:p w14:paraId="5A404D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492</w:t>
      </w:r>
      <w:r>
        <w:rPr>
          <w:rFonts w:ascii="David" w:hAnsi="David" w:cs="David"/>
          <w:sz w:val="24"/>
          <w:szCs w:val="24"/>
          <w:rtl/>
        </w:rPr>
        <w:t xml:space="preserve"> </w:t>
      </w:r>
      <w:r>
        <w:rPr>
          <w:rFonts w:ascii="David" w:hAnsi="David" w:cs="David"/>
          <w:color w:val="000000"/>
          <w:sz w:val="18"/>
          <w:szCs w:val="18"/>
          <w:rtl/>
        </w:rPr>
        <w:t>. סוכה שם, לגי' תוס' שם ד"ה אמאי וריטב"א ורא"ה שם ומאירי שם א, ועי' ציונים 465, 470. ועי' ריטב"א שם ב, וכעי"ז בכפו"ת שם א, שהטעם שהגמ' הביאה הכתוב "ולקחו", ללמד על "ונתן" שהוא אמור אף לענין נתינת האפר, ועי' תוס' ורא"ה שם. וע"ע נתינה ע"י דבר אחר ציון 18. וע"ע הנ"ל ציון 14 ואילך, שיש שאין גורסים נתינה ע"י ד"א וכו', ולא למדו משם אלא לענין לקיחה ע"י ד"א, ועי' ריטב"א שם, שלגי' זו הכתוב "ונתן" מוסב על נתינת המים בכלי, ועי' ערל"נ שם, שלפי"ז הכתוב "ולקחו" היינו נתינת האפר על המים, ולפי"ז אף לגי' זו כוונת הגמ' לדין האמור.</w:t>
      </w:r>
    </w:p>
  </w:footnote>
  <w:footnote w:id="493">
    <w:p w14:paraId="6FE505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493</w:t>
      </w:r>
      <w:r>
        <w:rPr>
          <w:rFonts w:ascii="David" w:hAnsi="David" w:cs="David"/>
          <w:sz w:val="24"/>
          <w:szCs w:val="24"/>
          <w:rtl/>
        </w:rPr>
        <w:t xml:space="preserve"> </w:t>
      </w:r>
      <w:r>
        <w:rPr>
          <w:rFonts w:ascii="David" w:hAnsi="David" w:cs="David"/>
          <w:color w:val="000000"/>
          <w:sz w:val="18"/>
          <w:szCs w:val="18"/>
          <w:rtl/>
        </w:rPr>
        <w:t>. ציון 51 ואילך. ועי' לעיל ציון 485.</w:t>
      </w:r>
    </w:p>
  </w:footnote>
  <w:footnote w:id="494">
    <w:p w14:paraId="4000F3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494</w:t>
      </w:r>
      <w:r>
        <w:rPr>
          <w:rFonts w:ascii="David" w:hAnsi="David" w:cs="David"/>
          <w:sz w:val="24"/>
          <w:szCs w:val="24"/>
          <w:rtl/>
        </w:rPr>
        <w:t xml:space="preserve"> </w:t>
      </w:r>
      <w:r>
        <w:rPr>
          <w:rFonts w:ascii="David" w:hAnsi="David" w:cs="David"/>
          <w:color w:val="000000"/>
          <w:sz w:val="18"/>
          <w:szCs w:val="18"/>
          <w:rtl/>
        </w:rPr>
        <w:t>. עי' רמב"ם פרה פ"ט ה"ב, וסמ"ג עשין רלב, ושם שמטעם זה פסול כשנפל על ידו ומשם נפל לשוקת, ושהוא כהזאה שצריכה כונה, ע"ע הזאה (ב) ציון 366, ועי' מער"ק שם, שפי' ד' הרמב"ם, שהיינו ככוונת המצוות לסוברים שמצוות - צריכות - כונה, ע"ע, ועי' ערל"נ סוכה לז ב, שתמה על הרמב"ם שם שמיעט כשנפל ממנו, ולא נקט כשהפילו שלא לשמה, ועי' לעיל ציון 482; עי' אחרונים דלהלן בביאור תוספתא דלהלן; ערה"ש פרה סי' סח ס"א. ועי' ערה"ש שם ס"ב, שכן מוכח ברמב"ם (ועוד) שבציון 332 שמילוי צריך כוונה, ובודאי ה"ה הקידוש. ועי' ערל"נ שם, בד' רש"י שם ד"ה הא הפילו, שפי' דיוק הגמ' שם: הא הפילו הוא כשר וכו' ש"מ לקיחה ע"י ד"א שמה לקיחה (עי' ציון 492), שהיינו במתכוין להפיל, שפי' שלדעתו לא די בכוונת השלכה למים אלא בכוונת קידוש, שאל"כ היו מדייקים שהפילו שכשר היינו בכוונה להפיל אף על פי שלא נתכוין לקדש, ולא היו למדים ללקיחה ע"י ד"א. ועי' ערה"ש שבציון 332.</w:t>
      </w:r>
    </w:p>
  </w:footnote>
  <w:footnote w:id="495">
    <w:p w14:paraId="7F7A61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495</w:t>
      </w:r>
      <w:r>
        <w:rPr>
          <w:rFonts w:ascii="David" w:hAnsi="David" w:cs="David"/>
          <w:sz w:val="24"/>
          <w:szCs w:val="24"/>
          <w:rtl/>
        </w:rPr>
        <w:t xml:space="preserve"> </w:t>
      </w:r>
      <w:r>
        <w:rPr>
          <w:rFonts w:ascii="David" w:hAnsi="David" w:cs="David"/>
          <w:color w:val="000000"/>
          <w:sz w:val="18"/>
          <w:szCs w:val="18"/>
          <w:rtl/>
        </w:rPr>
        <w:t>. בהגר"א לתוספתא דלהלן, וכעי"ז בזר זהב שם, על עף, ועי' חזו"א פרה סי' יא ס"ק יז. ולכאו' לא נתכוין אף למעשה, לכה"פ כשנדחה, ועי' ציון 482. וצ"ב אם בדחאו הרוח, חשוב שנעשה מכוחו, עי' ציון 472 ואילך.</w:t>
      </w:r>
    </w:p>
  </w:footnote>
  <w:footnote w:id="496">
    <w:p w14:paraId="14FECC7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496</w:t>
      </w:r>
      <w:r>
        <w:rPr>
          <w:rFonts w:ascii="David" w:hAnsi="David" w:cs="David"/>
          <w:sz w:val="24"/>
          <w:szCs w:val="24"/>
          <w:rtl/>
        </w:rPr>
        <w:t xml:space="preserve"> </w:t>
      </w:r>
      <w:r>
        <w:rPr>
          <w:rFonts w:ascii="David" w:hAnsi="David" w:cs="David"/>
          <w:color w:val="000000"/>
          <w:sz w:val="18"/>
          <w:szCs w:val="18"/>
          <w:rtl/>
        </w:rPr>
        <w:t>. בהגר"א וז"ז שם. ועי' חזו"א שם.</w:t>
      </w:r>
    </w:p>
  </w:footnote>
  <w:footnote w:id="497">
    <w:p w14:paraId="0DF635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497</w:t>
      </w:r>
      <w:r>
        <w:rPr>
          <w:rFonts w:ascii="David" w:hAnsi="David" w:cs="David"/>
          <w:sz w:val="24"/>
          <w:szCs w:val="24"/>
          <w:rtl/>
        </w:rPr>
        <w:t xml:space="preserve"> </w:t>
      </w:r>
      <w:r>
        <w:rPr>
          <w:rFonts w:ascii="David" w:hAnsi="David" w:cs="David"/>
          <w:color w:val="000000"/>
          <w:sz w:val="18"/>
          <w:szCs w:val="18"/>
          <w:rtl/>
        </w:rPr>
        <w:t>. במדבר יט יז.</w:t>
      </w:r>
    </w:p>
  </w:footnote>
  <w:footnote w:id="498">
    <w:p w14:paraId="396FC5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498</w:t>
      </w:r>
      <w:r>
        <w:rPr>
          <w:rFonts w:ascii="David" w:hAnsi="David" w:cs="David"/>
          <w:sz w:val="24"/>
          <w:szCs w:val="24"/>
          <w:rtl/>
        </w:rPr>
        <w:t xml:space="preserve"> </w:t>
      </w:r>
      <w:r>
        <w:rPr>
          <w:rFonts w:ascii="David" w:hAnsi="David" w:cs="David"/>
          <w:color w:val="000000"/>
          <w:sz w:val="18"/>
          <w:szCs w:val="18"/>
          <w:rtl/>
        </w:rPr>
        <w:t>. תוספתא פרה פ"ו. עי' בהגר"א וז"ז שם, ומק"ד טהרות סי' נא אות ב, ודעת יוסף פרה פ"ז מ"א, דהיינו כוונה לקדש מי חטאת, וכ"מ בערל"נ שם. וע"ע הזאה (ב) ציון 367 ואילך, שי"ס שהזאה אינה צריכה כונה לשם טהרה אלא שיתכוין להזות על אותו אדם, וצ"ב כיצד יפרשו דברי התוספ' לענין מילוי וקידוש, ושמא לענין כוונת המעשה, עי' ציון 482 בקידוש, ואפשר שה"ה במילוי, ועי' ציון 281, שי"ס שנתינה שלא בכוחו מועילה, וציון 482, שהטעם שצריך דעת הוא משום שבלא דעת חשוב כשלא מכוחו.</w:t>
      </w:r>
    </w:p>
  </w:footnote>
  <w:footnote w:id="499">
    <w:p w14:paraId="0FF2AA3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499</w:t>
      </w:r>
      <w:r>
        <w:rPr>
          <w:rFonts w:ascii="David" w:hAnsi="David" w:cs="David"/>
          <w:sz w:val="24"/>
          <w:szCs w:val="24"/>
          <w:rtl/>
        </w:rPr>
        <w:t xml:space="preserve"> </w:t>
      </w:r>
      <w:r>
        <w:rPr>
          <w:rFonts w:ascii="David" w:hAnsi="David" w:cs="David"/>
          <w:color w:val="000000"/>
          <w:sz w:val="18"/>
          <w:szCs w:val="18"/>
          <w:rtl/>
        </w:rPr>
        <w:t>. דעת יוסף שם.</w:t>
      </w:r>
    </w:p>
  </w:footnote>
  <w:footnote w:id="500">
    <w:p w14:paraId="6B79EE3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500</w:t>
      </w:r>
      <w:r>
        <w:rPr>
          <w:rFonts w:ascii="David" w:hAnsi="David" w:cs="David"/>
          <w:sz w:val="24"/>
          <w:szCs w:val="24"/>
          <w:rtl/>
        </w:rPr>
        <w:t xml:space="preserve"> </w:t>
      </w:r>
      <w:r>
        <w:rPr>
          <w:rFonts w:ascii="David" w:hAnsi="David" w:cs="David"/>
          <w:color w:val="000000"/>
          <w:sz w:val="18"/>
          <w:szCs w:val="18"/>
          <w:rtl/>
        </w:rPr>
        <w:t>. במדבר יט ט.</w:t>
      </w:r>
    </w:p>
  </w:footnote>
  <w:footnote w:id="501">
    <w:p w14:paraId="3FB521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501</w:t>
      </w:r>
      <w:r>
        <w:rPr>
          <w:rFonts w:ascii="David" w:hAnsi="David" w:cs="David"/>
          <w:sz w:val="24"/>
          <w:szCs w:val="24"/>
          <w:rtl/>
        </w:rPr>
        <w:t xml:space="preserve"> </w:t>
      </w:r>
      <w:r>
        <w:rPr>
          <w:rFonts w:ascii="David" w:hAnsi="David" w:cs="David"/>
          <w:color w:val="000000"/>
          <w:sz w:val="18"/>
          <w:szCs w:val="18"/>
          <w:rtl/>
        </w:rPr>
        <w:t>. שם. ספרי זוטא שם, לגי' שבמדה"ג, ועי' ערה"ש שם, שכן הגי' הנכונה, ולפנינו הגי': לא תהא כשרה. ערה"ש שם, וע"ש שנכלל בזה אף המילוי, ועי' ציון 332 ואילך.</w:t>
      </w:r>
    </w:p>
  </w:footnote>
  <w:footnote w:id="502">
    <w:p w14:paraId="22E1837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502</w:t>
      </w:r>
      <w:r>
        <w:rPr>
          <w:rFonts w:ascii="David" w:hAnsi="David" w:cs="David"/>
          <w:sz w:val="24"/>
          <w:szCs w:val="24"/>
          <w:rtl/>
        </w:rPr>
        <w:t xml:space="preserve"> </w:t>
      </w:r>
      <w:r>
        <w:rPr>
          <w:rFonts w:ascii="David" w:hAnsi="David" w:cs="David"/>
          <w:color w:val="000000"/>
          <w:sz w:val="18"/>
          <w:szCs w:val="18"/>
          <w:rtl/>
        </w:rPr>
        <w:t>. ערה"ש שם, ע"ש שבכמה מקומות מצינו שהיא בא לעכב.</w:t>
      </w:r>
    </w:p>
  </w:footnote>
  <w:footnote w:id="503">
    <w:p w14:paraId="407E289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503</w:t>
      </w:r>
      <w:r>
        <w:rPr>
          <w:rFonts w:ascii="David" w:hAnsi="David" w:cs="David"/>
          <w:sz w:val="24"/>
          <w:szCs w:val="24"/>
          <w:rtl/>
        </w:rPr>
        <w:t xml:space="preserve"> </w:t>
      </w:r>
      <w:r>
        <w:rPr>
          <w:rFonts w:ascii="David" w:hAnsi="David" w:cs="David"/>
          <w:color w:val="000000"/>
          <w:sz w:val="18"/>
          <w:szCs w:val="18"/>
          <w:rtl/>
        </w:rPr>
        <w:t>. תוספתא שבציון 590.</w:t>
      </w:r>
    </w:p>
  </w:footnote>
  <w:footnote w:id="504">
    <w:p w14:paraId="42E78B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504</w:t>
      </w:r>
      <w:r>
        <w:rPr>
          <w:rFonts w:ascii="David" w:hAnsi="David" w:cs="David"/>
          <w:sz w:val="24"/>
          <w:szCs w:val="24"/>
          <w:rtl/>
        </w:rPr>
        <w:t xml:space="preserve"> </w:t>
      </w:r>
      <w:r>
        <w:rPr>
          <w:rFonts w:ascii="David" w:hAnsi="David" w:cs="David"/>
          <w:color w:val="000000"/>
          <w:sz w:val="18"/>
          <w:szCs w:val="18"/>
          <w:rtl/>
        </w:rPr>
        <w:t>. חזו"א שם ס"ק יח, ע"פ גיטין כג א, שכתיבת גט כשגדול עומד ע"ג חשובה לשמה, ע"ע חרש שוטה וקטן ציון 253 ואילך. ועי' ציון הבא. ועי' ירו' שבציון 590. ועי' ציון 197.</w:t>
      </w:r>
    </w:p>
  </w:footnote>
  <w:footnote w:id="505">
    <w:p w14:paraId="47D646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505</w:t>
      </w:r>
      <w:r>
        <w:rPr>
          <w:rFonts w:ascii="David" w:hAnsi="David" w:cs="David"/>
          <w:sz w:val="24"/>
          <w:szCs w:val="24"/>
          <w:rtl/>
        </w:rPr>
        <w:t xml:space="preserve"> </w:t>
      </w:r>
      <w:r>
        <w:rPr>
          <w:rFonts w:ascii="David" w:hAnsi="David" w:cs="David"/>
          <w:color w:val="000000"/>
          <w:sz w:val="18"/>
          <w:szCs w:val="18"/>
          <w:rtl/>
        </w:rPr>
        <w:t>. חזו"א שם. ועי' ציון 181.</w:t>
      </w:r>
    </w:p>
  </w:footnote>
  <w:footnote w:id="506">
    <w:p w14:paraId="025ABE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506</w:t>
      </w:r>
      <w:r>
        <w:rPr>
          <w:rFonts w:ascii="David" w:hAnsi="David" w:cs="David"/>
          <w:sz w:val="24"/>
          <w:szCs w:val="24"/>
          <w:rtl/>
        </w:rPr>
        <w:t xml:space="preserve"> </w:t>
      </w:r>
      <w:r>
        <w:rPr>
          <w:rFonts w:ascii="David" w:hAnsi="David" w:cs="David"/>
          <w:color w:val="000000"/>
          <w:sz w:val="18"/>
          <w:szCs w:val="18"/>
          <w:rtl/>
        </w:rPr>
        <w:t>. ציון 567 ואילך. ועי' ציון 580, שי"ס שקידוש קטן כשר, ולא הזכירו שצריך שיהיו רואים אותו, ולכאו' סוברים שכוונת קטן די לזה, ועי' ציון 587, שד' החזו"א שלא בכל קטן הכשירו.</w:t>
      </w:r>
    </w:p>
  </w:footnote>
  <w:footnote w:id="507">
    <w:p w14:paraId="6E5AF5D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507</w:t>
      </w:r>
      <w:r>
        <w:rPr>
          <w:rFonts w:ascii="David" w:hAnsi="David" w:cs="David"/>
          <w:sz w:val="24"/>
          <w:szCs w:val="24"/>
          <w:rtl/>
        </w:rPr>
        <w:t xml:space="preserve"> </w:t>
      </w:r>
      <w:r>
        <w:rPr>
          <w:rFonts w:ascii="David" w:hAnsi="David" w:cs="David"/>
          <w:color w:val="000000"/>
          <w:sz w:val="18"/>
          <w:szCs w:val="18"/>
          <w:rtl/>
        </w:rPr>
        <w:t>. עי' רש"י שבציון 510, ומהרש"א שבציון הנ"ל, בדעתו; רמב"ם פרה פ"י ה"א; מאירי יומא מג א, בפי' גמ' דלהלן.</w:t>
      </w:r>
    </w:p>
  </w:footnote>
  <w:footnote w:id="508">
    <w:p w14:paraId="32971D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508</w:t>
      </w:r>
      <w:r>
        <w:rPr>
          <w:rFonts w:ascii="David" w:hAnsi="David" w:cs="David"/>
          <w:sz w:val="24"/>
          <w:szCs w:val="24"/>
          <w:rtl/>
        </w:rPr>
        <w:t xml:space="preserve"> </w:t>
      </w:r>
      <w:r>
        <w:rPr>
          <w:rFonts w:ascii="David" w:hAnsi="David" w:cs="David"/>
          <w:color w:val="000000"/>
          <w:sz w:val="18"/>
          <w:szCs w:val="18"/>
          <w:rtl/>
        </w:rPr>
        <w:t>. במדבר יט יז.</w:t>
      </w:r>
    </w:p>
  </w:footnote>
  <w:footnote w:id="509">
    <w:p w14:paraId="6A60A9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509</w:t>
      </w:r>
      <w:r>
        <w:rPr>
          <w:rFonts w:ascii="David" w:hAnsi="David" w:cs="David"/>
          <w:sz w:val="24"/>
          <w:szCs w:val="24"/>
          <w:rtl/>
        </w:rPr>
        <w:t xml:space="preserve"> </w:t>
      </w:r>
      <w:r>
        <w:rPr>
          <w:rFonts w:ascii="David" w:hAnsi="David" w:cs="David"/>
          <w:color w:val="000000"/>
          <w:sz w:val="18"/>
          <w:szCs w:val="18"/>
          <w:rtl/>
        </w:rPr>
        <w:t>. עי' יבמות עב ב ויומא שם, ועי' רש"י יומא שם ד"ה ורבנן, ותוס' שם ד"ה עד ויבמות שם ד"ה דשקיל, שההו"א שאותו שיקח הוא שיתן, ועי' רמב"ן שם, ושיח יצחק (נוניס) יומא שם לרש"י ד"ה ורבנן הא'. ועי' יבמות ויומא שם, שהואיל ונאמר "ונתן", ל' יחיד, אין לדרוש שיקחו שנים ויתנו שנים, וע"כ ל' "ולקחו" בא לרבות לקח אחד ונתן אחר.</w:t>
      </w:r>
    </w:p>
  </w:footnote>
  <w:footnote w:id="510">
    <w:p w14:paraId="1963EDB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510</w:t>
      </w:r>
      <w:r>
        <w:rPr>
          <w:rFonts w:ascii="David" w:hAnsi="David" w:cs="David"/>
          <w:sz w:val="24"/>
          <w:szCs w:val="24"/>
          <w:rtl/>
        </w:rPr>
        <w:t xml:space="preserve"> </w:t>
      </w:r>
      <w:r>
        <w:rPr>
          <w:rFonts w:ascii="David" w:hAnsi="David" w:cs="David"/>
          <w:color w:val="000000"/>
          <w:sz w:val="18"/>
          <w:szCs w:val="18"/>
          <w:rtl/>
        </w:rPr>
        <w:t>. עי' רש"י יבמות שם ד"ה דשקל: דשקל חד אפרה ויהיב חד מים, ומהרש"א שם, שהיינו המילוי והקידוש, ועי' ציון 529, שי"מ בע"א, ועי' רש"י יומא שם ד"ה ורבנן, וערל"נ יבמות שם; מאירי יומא שם; כס"מ שם בד' רמב"ם שם. ועי' חזו"א פרה סי' יא ס"ק יא, שכן יש לפרש לתוס' שבציון 429.</w:t>
      </w:r>
    </w:p>
  </w:footnote>
  <w:footnote w:id="511">
    <w:p w14:paraId="29A399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511</w:t>
      </w:r>
      <w:r>
        <w:rPr>
          <w:rFonts w:ascii="David" w:hAnsi="David" w:cs="David"/>
          <w:sz w:val="24"/>
          <w:szCs w:val="24"/>
          <w:rtl/>
        </w:rPr>
        <w:t xml:space="preserve"> </w:t>
      </w:r>
      <w:r>
        <w:rPr>
          <w:rFonts w:ascii="David" w:hAnsi="David" w:cs="David"/>
          <w:color w:val="000000"/>
          <w:sz w:val="18"/>
          <w:szCs w:val="18"/>
          <w:rtl/>
        </w:rPr>
        <w:t>. ציונים 465, 486, 528. ולכאו' אף לדעתם כשר כשהמילוי היה ע"י אחר, ולא הוצרכו ללמוד מהכתוב, אלא שאף הקידוש אפשר לחלקו לב'.</w:t>
      </w:r>
    </w:p>
  </w:footnote>
  <w:footnote w:id="512">
    <w:p w14:paraId="0431FA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512</w:t>
      </w:r>
      <w:r>
        <w:rPr>
          <w:rFonts w:ascii="David" w:hAnsi="David" w:cs="David"/>
          <w:sz w:val="24"/>
          <w:szCs w:val="24"/>
          <w:rtl/>
        </w:rPr>
        <w:t xml:space="preserve"> </w:t>
      </w:r>
      <w:r>
        <w:rPr>
          <w:rFonts w:ascii="David" w:hAnsi="David" w:cs="David"/>
          <w:color w:val="000000"/>
          <w:sz w:val="18"/>
          <w:szCs w:val="18"/>
          <w:rtl/>
        </w:rPr>
        <w:t>. חזו"א פרה סי' יא ס"ק יד, בביאור ראשונים שבציון 668, ועי' ציון 671, ועי' ציונים 629, 658, 662, טעמים אחרים להצריך ניגוב, וצ"ב אם חולקים בדין חציצה. ועי' ציון 214, שבמילוי צריך שלא יהיה חציצה בין המים לכלי, ולכאו' ה"ה בקידוש, ועי' יומא נח א, לראשונים שבציונים 704, 707, 740, אבל אפשר שהנידון על חציצה בשעת הזאה.</w:t>
      </w:r>
    </w:p>
  </w:footnote>
  <w:footnote w:id="513">
    <w:p w14:paraId="0C726E1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513</w:t>
      </w:r>
      <w:r>
        <w:rPr>
          <w:rFonts w:ascii="David" w:hAnsi="David" w:cs="David"/>
          <w:sz w:val="24"/>
          <w:szCs w:val="24"/>
          <w:rtl/>
        </w:rPr>
        <w:t xml:space="preserve"> </w:t>
      </w:r>
      <w:r>
        <w:rPr>
          <w:rFonts w:ascii="David" w:hAnsi="David" w:cs="David"/>
          <w:color w:val="000000"/>
          <w:sz w:val="18"/>
          <w:szCs w:val="18"/>
          <w:rtl/>
        </w:rPr>
        <w:t>. ציון 671.</w:t>
      </w:r>
    </w:p>
  </w:footnote>
  <w:footnote w:id="514">
    <w:p w14:paraId="1CF564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514</w:t>
      </w:r>
      <w:r>
        <w:rPr>
          <w:rFonts w:ascii="David" w:hAnsi="David" w:cs="David"/>
          <w:sz w:val="24"/>
          <w:szCs w:val="24"/>
          <w:rtl/>
        </w:rPr>
        <w:t xml:space="preserve"> </w:t>
      </w:r>
      <w:r>
        <w:rPr>
          <w:rFonts w:ascii="David" w:hAnsi="David" w:cs="David"/>
          <w:color w:val="000000"/>
          <w:sz w:val="18"/>
          <w:szCs w:val="18"/>
          <w:rtl/>
        </w:rPr>
        <w:t>. סוטה טז ב ותמורה יב ב; רמב"ם פרה פ"ט ה"א. ועי' תפא"י פרה פ"ו בועז אות ג, שאף כשלא נתערבו כל המים, אם הם מחוברים למים המעורבים די בכך. ועי' חי' הגרי"ז סוטה שם, שתמה מה שייך דין עירוב, הרי א"א לקדש כבר באפר אחר שנגע במים, שאינו חשוב אפר אלא מי חטאת, עי' ציון 637 ואילך.</w:t>
      </w:r>
    </w:p>
  </w:footnote>
  <w:footnote w:id="515">
    <w:p w14:paraId="0D16E8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515</w:t>
      </w:r>
      <w:r>
        <w:rPr>
          <w:rFonts w:ascii="David" w:hAnsi="David" w:cs="David"/>
          <w:sz w:val="24"/>
          <w:szCs w:val="24"/>
          <w:rtl/>
        </w:rPr>
        <w:t xml:space="preserve"> </w:t>
      </w:r>
      <w:r>
        <w:rPr>
          <w:rFonts w:ascii="David" w:hAnsi="David" w:cs="David"/>
          <w:color w:val="000000"/>
          <w:sz w:val="18"/>
          <w:szCs w:val="18"/>
          <w:rtl/>
        </w:rPr>
        <w:t>. עי' גמ' ורש"י דלהלן.</w:t>
      </w:r>
    </w:p>
  </w:footnote>
  <w:footnote w:id="516">
    <w:p w14:paraId="42ECA9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516</w:t>
      </w:r>
      <w:r>
        <w:rPr>
          <w:rFonts w:ascii="David" w:hAnsi="David" w:cs="David"/>
          <w:sz w:val="24"/>
          <w:szCs w:val="24"/>
          <w:rtl/>
        </w:rPr>
        <w:t xml:space="preserve"> </w:t>
      </w:r>
      <w:r>
        <w:rPr>
          <w:rFonts w:ascii="David" w:hAnsi="David" w:cs="David"/>
          <w:color w:val="000000"/>
          <w:sz w:val="18"/>
          <w:szCs w:val="18"/>
          <w:rtl/>
        </w:rPr>
        <w:t>. רמב"ן במדבר יט יז.</w:t>
      </w:r>
    </w:p>
  </w:footnote>
  <w:footnote w:id="517">
    <w:p w14:paraId="0C3DEE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517</w:t>
      </w:r>
      <w:r>
        <w:rPr>
          <w:rFonts w:ascii="David" w:hAnsi="David" w:cs="David"/>
          <w:sz w:val="24"/>
          <w:szCs w:val="24"/>
          <w:rtl/>
        </w:rPr>
        <w:t xml:space="preserve"> </w:t>
      </w:r>
      <w:r>
        <w:rPr>
          <w:rFonts w:ascii="David" w:hAnsi="David" w:cs="David"/>
          <w:color w:val="000000"/>
          <w:sz w:val="18"/>
          <w:szCs w:val="18"/>
          <w:rtl/>
        </w:rPr>
        <w:t>. חזו"א פרה סי' יב ס"ק ו.</w:t>
      </w:r>
    </w:p>
  </w:footnote>
  <w:footnote w:id="518">
    <w:p w14:paraId="3EE76BE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518</w:t>
      </w:r>
      <w:r>
        <w:rPr>
          <w:rFonts w:ascii="David" w:hAnsi="David" w:cs="David"/>
          <w:sz w:val="24"/>
          <w:szCs w:val="24"/>
          <w:rtl/>
        </w:rPr>
        <w:t xml:space="preserve"> </w:t>
      </w:r>
      <w:r>
        <w:rPr>
          <w:rFonts w:ascii="David" w:hAnsi="David" w:cs="David"/>
          <w:color w:val="000000"/>
          <w:sz w:val="18"/>
          <w:szCs w:val="18"/>
          <w:rtl/>
        </w:rPr>
        <w:t>. במדבר שם.</w:t>
      </w:r>
    </w:p>
  </w:footnote>
  <w:footnote w:id="519">
    <w:p w14:paraId="4F2417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519</w:t>
      </w:r>
      <w:r>
        <w:rPr>
          <w:rFonts w:ascii="David" w:hAnsi="David" w:cs="David"/>
          <w:sz w:val="24"/>
          <w:szCs w:val="24"/>
          <w:rtl/>
        </w:rPr>
        <w:t xml:space="preserve"> </w:t>
      </w:r>
      <w:r>
        <w:rPr>
          <w:rFonts w:ascii="David" w:hAnsi="David" w:cs="David"/>
          <w:color w:val="000000"/>
          <w:sz w:val="18"/>
          <w:szCs w:val="18"/>
          <w:rtl/>
        </w:rPr>
        <w:t>. עי' ציון 405.</w:t>
      </w:r>
    </w:p>
  </w:footnote>
  <w:footnote w:id="520">
    <w:p w14:paraId="369F95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520</w:t>
      </w:r>
      <w:r>
        <w:rPr>
          <w:rFonts w:ascii="David" w:hAnsi="David" w:cs="David"/>
          <w:sz w:val="24"/>
          <w:szCs w:val="24"/>
          <w:rtl/>
        </w:rPr>
        <w:t xml:space="preserve"> </w:t>
      </w:r>
      <w:r>
        <w:rPr>
          <w:rFonts w:ascii="David" w:hAnsi="David" w:cs="David"/>
          <w:color w:val="000000"/>
          <w:sz w:val="18"/>
          <w:szCs w:val="18"/>
          <w:rtl/>
        </w:rPr>
        <w:t>. ציון 426.</w:t>
      </w:r>
    </w:p>
  </w:footnote>
  <w:footnote w:id="521">
    <w:p w14:paraId="2341F0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521</w:t>
      </w:r>
      <w:r>
        <w:rPr>
          <w:rFonts w:ascii="David" w:hAnsi="David" w:cs="David"/>
          <w:sz w:val="24"/>
          <w:szCs w:val="24"/>
          <w:rtl/>
        </w:rPr>
        <w:t xml:space="preserve"> </w:t>
      </w:r>
      <w:r>
        <w:rPr>
          <w:rFonts w:ascii="David" w:hAnsi="David" w:cs="David"/>
          <w:color w:val="000000"/>
          <w:sz w:val="18"/>
          <w:szCs w:val="18"/>
          <w:rtl/>
        </w:rPr>
        <w:t>. סוטה ותמורה שם, ורש"י סוטה שם ד"ה ורבנן. ועי' ציון 429, שיש שפי' פשוטו של מקרא בע"א. ועי' ציונים 119, 667.</w:t>
      </w:r>
    </w:p>
  </w:footnote>
  <w:footnote w:id="522">
    <w:p w14:paraId="33A8A6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522</w:t>
      </w:r>
      <w:r>
        <w:rPr>
          <w:rFonts w:ascii="David" w:hAnsi="David" w:cs="David"/>
          <w:sz w:val="24"/>
          <w:szCs w:val="24"/>
          <w:rtl/>
        </w:rPr>
        <w:t xml:space="preserve"> </w:t>
      </w:r>
      <w:r>
        <w:rPr>
          <w:rFonts w:ascii="David" w:hAnsi="David" w:cs="David"/>
          <w:color w:val="000000"/>
          <w:sz w:val="18"/>
          <w:szCs w:val="18"/>
          <w:rtl/>
        </w:rPr>
        <w:t>. עי' רמב"ן שם; רש"ר הירש במדבר שם.</w:t>
      </w:r>
    </w:p>
  </w:footnote>
  <w:footnote w:id="523">
    <w:p w14:paraId="68084B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523</w:t>
      </w:r>
      <w:r>
        <w:rPr>
          <w:rFonts w:ascii="David" w:hAnsi="David" w:cs="David"/>
          <w:sz w:val="24"/>
          <w:szCs w:val="24"/>
          <w:rtl/>
        </w:rPr>
        <w:t xml:space="preserve"> </w:t>
      </w:r>
      <w:r>
        <w:rPr>
          <w:rFonts w:ascii="David" w:hAnsi="David" w:cs="David"/>
          <w:color w:val="000000"/>
          <w:sz w:val="18"/>
          <w:szCs w:val="18"/>
          <w:rtl/>
        </w:rPr>
        <w:t>. מראה הנוגה פרה שם. ועי' ציון 405.</w:t>
      </w:r>
    </w:p>
  </w:footnote>
  <w:footnote w:id="524">
    <w:p w14:paraId="21416C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524</w:t>
      </w:r>
      <w:r>
        <w:rPr>
          <w:rFonts w:ascii="David" w:hAnsi="David" w:cs="David"/>
          <w:sz w:val="24"/>
          <w:szCs w:val="24"/>
          <w:rtl/>
        </w:rPr>
        <w:t xml:space="preserve"> </w:t>
      </w:r>
      <w:r>
        <w:rPr>
          <w:rFonts w:ascii="David" w:hAnsi="David" w:cs="David"/>
          <w:color w:val="000000"/>
          <w:sz w:val="18"/>
          <w:szCs w:val="18"/>
          <w:rtl/>
        </w:rPr>
        <w:t>. עי' ציון 405 ואילך.</w:t>
      </w:r>
    </w:p>
  </w:footnote>
  <w:footnote w:id="525">
    <w:p w14:paraId="65DF2E2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525</w:t>
      </w:r>
      <w:r>
        <w:rPr>
          <w:rFonts w:ascii="David" w:hAnsi="David" w:cs="David"/>
          <w:sz w:val="24"/>
          <w:szCs w:val="24"/>
          <w:rtl/>
        </w:rPr>
        <w:t xml:space="preserve"> </w:t>
      </w:r>
      <w:r>
        <w:rPr>
          <w:rFonts w:ascii="David" w:hAnsi="David" w:cs="David"/>
          <w:color w:val="000000"/>
          <w:sz w:val="18"/>
          <w:szCs w:val="18"/>
          <w:rtl/>
        </w:rPr>
        <w:t>. עי' גבו"א יומא מג א.</w:t>
      </w:r>
    </w:p>
  </w:footnote>
  <w:footnote w:id="526">
    <w:p w14:paraId="3DFA25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526</w:t>
      </w:r>
      <w:r>
        <w:rPr>
          <w:rFonts w:ascii="David" w:hAnsi="David" w:cs="David"/>
          <w:sz w:val="24"/>
          <w:szCs w:val="24"/>
          <w:rtl/>
        </w:rPr>
        <w:t xml:space="preserve"> </w:t>
      </w:r>
      <w:r>
        <w:rPr>
          <w:rFonts w:ascii="David" w:hAnsi="David" w:cs="David"/>
          <w:color w:val="000000"/>
          <w:sz w:val="18"/>
          <w:szCs w:val="18"/>
          <w:rtl/>
        </w:rPr>
        <w:t>. עי' תוס' יבמות עב ב ד"ה דשקיל וגבו"א יומא שם, בביאור גמ' דלהלן. ועי' ציון 529, בד' ראשונים נוספים. ועי' ציון 530.</w:t>
      </w:r>
    </w:p>
  </w:footnote>
  <w:footnote w:id="527">
    <w:p w14:paraId="4084F8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527</w:t>
      </w:r>
      <w:r>
        <w:rPr>
          <w:rFonts w:ascii="David" w:hAnsi="David" w:cs="David"/>
          <w:sz w:val="24"/>
          <w:szCs w:val="24"/>
          <w:rtl/>
        </w:rPr>
        <w:t xml:space="preserve"> </w:t>
      </w:r>
      <w:r>
        <w:rPr>
          <w:rFonts w:ascii="David" w:hAnsi="David" w:cs="David"/>
          <w:color w:val="000000"/>
          <w:sz w:val="18"/>
          <w:szCs w:val="18"/>
          <w:rtl/>
        </w:rPr>
        <w:t>. גבו"א שם.</w:t>
      </w:r>
    </w:p>
  </w:footnote>
  <w:footnote w:id="528">
    <w:p w14:paraId="484B9F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528</w:t>
      </w:r>
      <w:r>
        <w:rPr>
          <w:rFonts w:ascii="David" w:hAnsi="David" w:cs="David"/>
          <w:sz w:val="24"/>
          <w:szCs w:val="24"/>
          <w:rtl/>
        </w:rPr>
        <w:t xml:space="preserve"> </w:t>
      </w:r>
      <w:r>
        <w:rPr>
          <w:rFonts w:ascii="David" w:hAnsi="David" w:cs="David"/>
          <w:color w:val="000000"/>
          <w:sz w:val="18"/>
          <w:szCs w:val="18"/>
          <w:rtl/>
        </w:rPr>
        <w:t>. עי' יבמות ויומא שם, ועי' ציון 509.</w:t>
      </w:r>
    </w:p>
  </w:footnote>
  <w:footnote w:id="529">
    <w:p w14:paraId="182790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529</w:t>
      </w:r>
      <w:r>
        <w:rPr>
          <w:rFonts w:ascii="David" w:hAnsi="David" w:cs="David"/>
          <w:sz w:val="24"/>
          <w:szCs w:val="24"/>
          <w:rtl/>
        </w:rPr>
        <w:t xml:space="preserve"> </w:t>
      </w:r>
      <w:r>
        <w:rPr>
          <w:rFonts w:ascii="David" w:hAnsi="David" w:cs="David"/>
          <w:color w:val="000000"/>
          <w:sz w:val="18"/>
          <w:szCs w:val="18"/>
          <w:rtl/>
        </w:rPr>
        <w:t>. עי' תוס' יבמות שם; עי' גבו"א יומא שם. ועי' שיח יצחק (נוניס) שם וחזו"א שם סי' יא ס"ק יא, שכ"ד תוס' יומא שם ד"ה עד: ההוא גופיה דשקיל ליה מערב ליה במים, וכ"מ בהג' הב"ח ובגבו"א שם, ועי' חזו"א שם, שאין כוונתם שס"ד שהלוקח את האפר מהשפופרת צריך לערב (עי' ציון 465), שהרי אין דין נטילה ממקום מסויים, ועי' ציון 466, שאם השני מגרר לא עשה לקיחה כלל, וציון 470, שי"ס שאין דין לקיחה כלל. ועי' ערל"נ יבמות שם, שכן כוונת רש"י שם ד"ה דשקל: דשקל חד אפרה ויהיב חד מים, ועי' ציון 510, שי"מ בע"א.</w:t>
      </w:r>
    </w:p>
  </w:footnote>
  <w:footnote w:id="530">
    <w:p w14:paraId="40D37CC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530</w:t>
      </w:r>
      <w:r>
        <w:rPr>
          <w:rFonts w:ascii="David" w:hAnsi="David" w:cs="David"/>
          <w:sz w:val="24"/>
          <w:szCs w:val="24"/>
          <w:rtl/>
        </w:rPr>
        <w:t xml:space="preserve"> </w:t>
      </w:r>
      <w:r>
        <w:rPr>
          <w:rFonts w:ascii="David" w:hAnsi="David" w:cs="David"/>
          <w:color w:val="000000"/>
          <w:sz w:val="18"/>
          <w:szCs w:val="18"/>
          <w:rtl/>
        </w:rPr>
        <w:t>. ציונים 465, 486, 510. ומ' קצת שלדעתם המקדש צריך לערב, ודוקא מעשים שקודם הקידוש, אפשר שייעשו ע"י אחרים.</w:t>
      </w:r>
    </w:p>
  </w:footnote>
  <w:footnote w:id="531">
    <w:p w14:paraId="0C666A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531</w:t>
      </w:r>
      <w:r>
        <w:rPr>
          <w:rFonts w:ascii="David" w:hAnsi="David" w:cs="David"/>
          <w:sz w:val="24"/>
          <w:szCs w:val="24"/>
          <w:rtl/>
        </w:rPr>
        <w:t xml:space="preserve"> </w:t>
      </w:r>
      <w:r>
        <w:rPr>
          <w:rFonts w:ascii="David" w:hAnsi="David" w:cs="David"/>
          <w:color w:val="000000"/>
          <w:sz w:val="18"/>
          <w:szCs w:val="18"/>
          <w:rtl/>
        </w:rPr>
        <w:t>. עי' ציונים 615 - 544. עי' חזו"א שם, ועי' חי' הגרי"ז סוטה שם, שהסתפק והניח בצ"ע, ומ' שם שתלוי אם העירוב מעכב את הקידוש, עי' ציון 533 ואילך.</w:t>
      </w:r>
    </w:p>
  </w:footnote>
  <w:footnote w:id="532">
    <w:p w14:paraId="501687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532</w:t>
      </w:r>
      <w:r>
        <w:rPr>
          <w:rFonts w:ascii="David" w:hAnsi="David" w:cs="David"/>
          <w:sz w:val="24"/>
          <w:szCs w:val="24"/>
          <w:rtl/>
        </w:rPr>
        <w:t xml:space="preserve"> </w:t>
      </w:r>
      <w:r>
        <w:rPr>
          <w:rFonts w:ascii="David" w:hAnsi="David" w:cs="David"/>
          <w:color w:val="000000"/>
          <w:sz w:val="18"/>
          <w:szCs w:val="18"/>
          <w:rtl/>
        </w:rPr>
        <w:t>. עי' אחרונים דלהלן, וכ"מ בראשונים ואחרונים שבציון 529, ועי' לעיל שלמדו כן מהכתוב, ועי' להלן.</w:t>
      </w:r>
    </w:p>
  </w:footnote>
  <w:footnote w:id="533">
    <w:p w14:paraId="0B6286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533</w:t>
      </w:r>
      <w:r>
        <w:rPr>
          <w:rFonts w:ascii="David" w:hAnsi="David" w:cs="David"/>
          <w:sz w:val="24"/>
          <w:szCs w:val="24"/>
          <w:rtl/>
        </w:rPr>
        <w:t xml:space="preserve"> </w:t>
      </w:r>
      <w:r>
        <w:rPr>
          <w:rFonts w:ascii="David" w:hAnsi="David" w:cs="David"/>
          <w:color w:val="000000"/>
          <w:sz w:val="18"/>
          <w:szCs w:val="18"/>
          <w:rtl/>
        </w:rPr>
        <w:t>. עי' שיח יצחק (נוניס) יומא מג א: שזהו גמר פועל הקידוש; חזו"א פרה סי' יב ס"ק ב, ועי' חזו"א שבציון 531; דעת יוסף פרה פ"ו מ"ב. ועי' חי' הגרי"ז סוטה טז ב ד"ה ת"ר וד"ה ורבנן, שמפקפק בזה, ותמה שאם מתקדש בלא עירוב, ובטל ממנו שם אפר (עי' ציון 637 ואילך), איזה משמעות יש לעירוב, ועי' ציון הנ"ל. ועי' שיח יצחק שם, שכ"מ ברש"י ערכין ג א ד"ה לקדש (ותוס' שם, ורש"י יבמות עב ב ובכורות כט א ורע"ב שם פ"ד מ"ו), ועי' מראה הנוגה פרה פ"ט ה"א, שדייק מרש"י שם שהעירוב בלבד הוא הקידוש, וצ"ב אם לדעתו כל הפסולים שנאמרו בקידוש (עי' ציונים 615 - 544), לא נאמרו אלא בעירוב, ועי' רש"י יומא מב א ד"ה לקידוש. וכ"מ בגבו"א שבציון 527, שכ' שמתן האפר והעירוב עבודה אחת הם.</w:t>
      </w:r>
    </w:p>
  </w:footnote>
  <w:footnote w:id="534">
    <w:p w14:paraId="5DD372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534</w:t>
      </w:r>
      <w:r>
        <w:rPr>
          <w:rFonts w:ascii="David" w:hAnsi="David" w:cs="David"/>
          <w:sz w:val="24"/>
          <w:szCs w:val="24"/>
          <w:rtl/>
        </w:rPr>
        <w:t xml:space="preserve"> </w:t>
      </w:r>
      <w:r>
        <w:rPr>
          <w:rFonts w:ascii="David" w:hAnsi="David" w:cs="David"/>
          <w:color w:val="000000"/>
          <w:sz w:val="18"/>
          <w:szCs w:val="18"/>
          <w:rtl/>
        </w:rPr>
        <w:t>. במדבר יט ב.</w:t>
      </w:r>
    </w:p>
  </w:footnote>
  <w:footnote w:id="535">
    <w:p w14:paraId="13E06C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535</w:t>
      </w:r>
      <w:r>
        <w:rPr>
          <w:rFonts w:ascii="David" w:hAnsi="David" w:cs="David"/>
          <w:sz w:val="24"/>
          <w:szCs w:val="24"/>
          <w:rtl/>
        </w:rPr>
        <w:t xml:space="preserve"> </w:t>
      </w:r>
      <w:r>
        <w:rPr>
          <w:rFonts w:ascii="David" w:hAnsi="David" w:cs="David"/>
          <w:color w:val="000000"/>
          <w:sz w:val="18"/>
          <w:szCs w:val="18"/>
          <w:rtl/>
        </w:rPr>
        <w:t>. מנחות יט א, ושם אף לענין פרה, וע"ע פרה אדומה. דעת יוסף שם.</w:t>
      </w:r>
    </w:p>
  </w:footnote>
  <w:footnote w:id="536">
    <w:p w14:paraId="23BF27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536</w:t>
      </w:r>
      <w:r>
        <w:rPr>
          <w:rFonts w:ascii="David" w:hAnsi="David" w:cs="David"/>
          <w:sz w:val="24"/>
          <w:szCs w:val="24"/>
          <w:rtl/>
        </w:rPr>
        <w:t xml:space="preserve"> </w:t>
      </w:r>
      <w:r>
        <w:rPr>
          <w:rFonts w:ascii="David" w:hAnsi="David" w:cs="David"/>
          <w:color w:val="000000"/>
          <w:sz w:val="18"/>
          <w:szCs w:val="18"/>
          <w:rtl/>
        </w:rPr>
        <w:t>. עי' לעיל ציון 66.</w:t>
      </w:r>
    </w:p>
  </w:footnote>
  <w:footnote w:id="537">
    <w:p w14:paraId="775083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537</w:t>
      </w:r>
      <w:r>
        <w:rPr>
          <w:rFonts w:ascii="David" w:hAnsi="David" w:cs="David"/>
          <w:sz w:val="24"/>
          <w:szCs w:val="24"/>
          <w:rtl/>
        </w:rPr>
        <w:t xml:space="preserve"> </w:t>
      </w:r>
      <w:r>
        <w:rPr>
          <w:rFonts w:ascii="David" w:hAnsi="David" w:cs="David"/>
          <w:color w:val="000000"/>
          <w:sz w:val="18"/>
          <w:szCs w:val="18"/>
          <w:rtl/>
        </w:rPr>
        <w:t>. דעת יוסף שם.</w:t>
      </w:r>
    </w:p>
  </w:footnote>
  <w:footnote w:id="538">
    <w:p w14:paraId="66DF53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538</w:t>
      </w:r>
      <w:r>
        <w:rPr>
          <w:rFonts w:ascii="David" w:hAnsi="David" w:cs="David"/>
          <w:sz w:val="24"/>
          <w:szCs w:val="24"/>
          <w:rtl/>
        </w:rPr>
        <w:t xml:space="preserve"> </w:t>
      </w:r>
      <w:r>
        <w:rPr>
          <w:rFonts w:ascii="David" w:hAnsi="David" w:cs="David"/>
          <w:color w:val="000000"/>
          <w:sz w:val="18"/>
          <w:szCs w:val="18"/>
          <w:rtl/>
        </w:rPr>
        <w:t>. חזו"א שם.</w:t>
      </w:r>
    </w:p>
  </w:footnote>
  <w:footnote w:id="539">
    <w:p w14:paraId="209B17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539</w:t>
      </w:r>
      <w:r>
        <w:rPr>
          <w:rFonts w:ascii="David" w:hAnsi="David" w:cs="David"/>
          <w:sz w:val="24"/>
          <w:szCs w:val="24"/>
          <w:rtl/>
        </w:rPr>
        <w:t xml:space="preserve"> </w:t>
      </w:r>
      <w:r>
        <w:rPr>
          <w:rFonts w:ascii="David" w:hAnsi="David" w:cs="David"/>
          <w:color w:val="000000"/>
          <w:sz w:val="18"/>
          <w:szCs w:val="18"/>
          <w:rtl/>
        </w:rPr>
        <w:t>. עי' ציון 638.</w:t>
      </w:r>
    </w:p>
  </w:footnote>
  <w:footnote w:id="540">
    <w:p w14:paraId="78CE497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540</w:t>
      </w:r>
      <w:r>
        <w:rPr>
          <w:rFonts w:ascii="David" w:hAnsi="David" w:cs="David"/>
          <w:sz w:val="24"/>
          <w:szCs w:val="24"/>
          <w:rtl/>
        </w:rPr>
        <w:t xml:space="preserve"> </w:t>
      </w:r>
      <w:r>
        <w:rPr>
          <w:rFonts w:ascii="David" w:hAnsi="David" w:cs="David"/>
          <w:color w:val="000000"/>
          <w:sz w:val="18"/>
          <w:szCs w:val="18"/>
          <w:rtl/>
        </w:rPr>
        <w:t>. עי' ציון 637.</w:t>
      </w:r>
    </w:p>
  </w:footnote>
  <w:footnote w:id="541">
    <w:p w14:paraId="1CE46A3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541</w:t>
      </w:r>
      <w:r>
        <w:rPr>
          <w:rFonts w:ascii="David" w:hAnsi="David" w:cs="David"/>
          <w:sz w:val="24"/>
          <w:szCs w:val="24"/>
          <w:rtl/>
        </w:rPr>
        <w:t xml:space="preserve"> </w:t>
      </w:r>
      <w:r>
        <w:rPr>
          <w:rFonts w:ascii="David" w:hAnsi="David" w:cs="David"/>
          <w:color w:val="000000"/>
          <w:sz w:val="18"/>
          <w:szCs w:val="18"/>
          <w:rtl/>
        </w:rPr>
        <w:t>. ציון 667.</w:t>
      </w:r>
    </w:p>
  </w:footnote>
  <w:footnote w:id="542">
    <w:p w14:paraId="01CB84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542</w:t>
      </w:r>
      <w:r>
        <w:rPr>
          <w:rFonts w:ascii="David" w:hAnsi="David" w:cs="David"/>
          <w:sz w:val="24"/>
          <w:szCs w:val="24"/>
          <w:rtl/>
        </w:rPr>
        <w:t xml:space="preserve"> </w:t>
      </w:r>
      <w:r>
        <w:rPr>
          <w:rFonts w:ascii="David" w:hAnsi="David" w:cs="David"/>
          <w:color w:val="000000"/>
          <w:sz w:val="18"/>
          <w:szCs w:val="18"/>
          <w:rtl/>
        </w:rPr>
        <w:t>. כפו"ת סוכה לז ב, בד' תוס' שבציון 429, המפרשים את הכתוב "עליו", בע"א, ועי' ציון הנ"ל שי"מ באופ"א.</w:t>
      </w:r>
    </w:p>
  </w:footnote>
  <w:footnote w:id="543">
    <w:p w14:paraId="77AE43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543</w:t>
      </w:r>
      <w:r>
        <w:rPr>
          <w:rFonts w:ascii="David" w:hAnsi="David" w:cs="David"/>
          <w:sz w:val="24"/>
          <w:szCs w:val="24"/>
          <w:rtl/>
        </w:rPr>
        <w:t xml:space="preserve"> </w:t>
      </w:r>
      <w:r>
        <w:rPr>
          <w:rFonts w:ascii="David" w:hAnsi="David" w:cs="David"/>
          <w:color w:val="000000"/>
          <w:sz w:val="18"/>
          <w:szCs w:val="18"/>
          <w:rtl/>
        </w:rPr>
        <w:t>. כפו"ת שם.</w:t>
      </w:r>
    </w:p>
  </w:footnote>
  <w:footnote w:id="544">
    <w:p w14:paraId="735DB79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544</w:t>
      </w:r>
      <w:r>
        <w:rPr>
          <w:rFonts w:ascii="David" w:hAnsi="David" w:cs="David"/>
          <w:sz w:val="24"/>
          <w:szCs w:val="24"/>
          <w:rtl/>
        </w:rPr>
        <w:t xml:space="preserve"> </w:t>
      </w:r>
      <w:r>
        <w:rPr>
          <w:rFonts w:ascii="David" w:hAnsi="David" w:cs="David"/>
          <w:color w:val="000000"/>
          <w:sz w:val="18"/>
          <w:szCs w:val="18"/>
          <w:rtl/>
        </w:rPr>
        <w:t>. פרה פ"ה מ"ד; תוספתא שם פ"ה; רמב"ם פרה פ"ו ה"ב. ועי' ציונים 547, 557, מה בא לרבות לשון הכל.</w:t>
      </w:r>
    </w:p>
  </w:footnote>
  <w:footnote w:id="545">
    <w:p w14:paraId="6D590A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545</w:t>
      </w:r>
      <w:r>
        <w:rPr>
          <w:rFonts w:ascii="David" w:hAnsi="David" w:cs="David"/>
          <w:sz w:val="24"/>
          <w:szCs w:val="24"/>
          <w:rtl/>
        </w:rPr>
        <w:t xml:space="preserve"> </w:t>
      </w:r>
      <w:r>
        <w:rPr>
          <w:rFonts w:ascii="David" w:hAnsi="David" w:cs="David"/>
          <w:color w:val="000000"/>
          <w:sz w:val="18"/>
          <w:szCs w:val="18"/>
          <w:rtl/>
        </w:rPr>
        <w:t>. עי' יומא מג א ויבמות עב ב, ורש"י יומא שם ד"ה ולקחו, ועי' להלן. ועי' תוספתא שם פ"ד: כל מעשיה בכהנים חוץ מאסיפת האפר והמלוי והקדוש, וכן גי' פהמ"ש לרמב"ם ורע"ב שם פ"ד מ"ד ואית דגרסי בר"ש שם, אבל הר"ש גרס: כל מעשיה באנשים וכו' (וכ"ה ברא"ש שם), וע"ש שהיינו לפסול נשים, חוץ מאסיפה וכו', ועי' להלן.</w:t>
      </w:r>
    </w:p>
  </w:footnote>
  <w:footnote w:id="546">
    <w:p w14:paraId="0BF59B7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546</w:t>
      </w:r>
      <w:r>
        <w:rPr>
          <w:rFonts w:ascii="David" w:hAnsi="David" w:cs="David"/>
          <w:sz w:val="24"/>
          <w:szCs w:val="24"/>
          <w:rtl/>
        </w:rPr>
        <w:t xml:space="preserve"> </w:t>
      </w:r>
      <w:r>
        <w:rPr>
          <w:rFonts w:ascii="David" w:hAnsi="David" w:cs="David"/>
          <w:color w:val="000000"/>
          <w:sz w:val="18"/>
          <w:szCs w:val="18"/>
          <w:rtl/>
        </w:rPr>
        <w:t>. ע"ע פרה אדומה.</w:t>
      </w:r>
    </w:p>
  </w:footnote>
  <w:footnote w:id="547">
    <w:p w14:paraId="6859BD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547</w:t>
      </w:r>
      <w:r>
        <w:rPr>
          <w:rFonts w:ascii="David" w:hAnsi="David" w:cs="David"/>
          <w:sz w:val="24"/>
          <w:szCs w:val="24"/>
          <w:rtl/>
        </w:rPr>
        <w:t xml:space="preserve"> </w:t>
      </w:r>
      <w:r>
        <w:rPr>
          <w:rFonts w:ascii="David" w:hAnsi="David" w:cs="David"/>
          <w:color w:val="000000"/>
          <w:sz w:val="18"/>
          <w:szCs w:val="18"/>
          <w:rtl/>
        </w:rPr>
        <w:t>. עי' ד' ת"ק בפרה פ"ה שם, ועי' להלן; עי' תוספ' שם לגי' הר"ש שם; ערכין ג א, ושם שזה ריבתה המשנה פרה שם בלשון "הכל" לדעה זו, ועי' ציון 557, ועי' גבו"א יומא שם; עי' ד' ת"ק ביבמות שם.</w:t>
      </w:r>
    </w:p>
  </w:footnote>
  <w:footnote w:id="548">
    <w:p w14:paraId="55BB7A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548</w:t>
      </w:r>
      <w:r>
        <w:rPr>
          <w:rFonts w:ascii="David" w:hAnsi="David" w:cs="David"/>
          <w:sz w:val="24"/>
          <w:szCs w:val="24"/>
          <w:rtl/>
        </w:rPr>
        <w:t xml:space="preserve"> </w:t>
      </w:r>
      <w:r>
        <w:rPr>
          <w:rFonts w:ascii="David" w:hAnsi="David" w:cs="David"/>
          <w:color w:val="000000"/>
          <w:sz w:val="18"/>
          <w:szCs w:val="18"/>
          <w:rtl/>
        </w:rPr>
        <w:t>. עי' ד' ת"ק בפרה שם; ד' ת"ק ביבמות שם.</w:t>
      </w:r>
    </w:p>
  </w:footnote>
  <w:footnote w:id="549">
    <w:p w14:paraId="144C1D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549</w:t>
      </w:r>
      <w:r>
        <w:rPr>
          <w:rFonts w:ascii="David" w:hAnsi="David" w:cs="David"/>
          <w:sz w:val="24"/>
          <w:szCs w:val="24"/>
          <w:rtl/>
        </w:rPr>
        <w:t xml:space="preserve"> </w:t>
      </w:r>
      <w:r>
        <w:rPr>
          <w:rFonts w:ascii="David" w:hAnsi="David" w:cs="David"/>
          <w:color w:val="000000"/>
          <w:sz w:val="18"/>
          <w:szCs w:val="18"/>
          <w:rtl/>
        </w:rPr>
        <w:t>. רש"י שם, ועי' תפא"י שם אות כט, ועי' ציון 610 ואילך, על דין ערל.</w:t>
      </w:r>
    </w:p>
  </w:footnote>
  <w:footnote w:id="550">
    <w:p w14:paraId="471BF2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550</w:t>
      </w:r>
      <w:r>
        <w:rPr>
          <w:rFonts w:ascii="David" w:hAnsi="David" w:cs="David"/>
          <w:sz w:val="24"/>
          <w:szCs w:val="24"/>
          <w:rtl/>
        </w:rPr>
        <w:t xml:space="preserve"> </w:t>
      </w:r>
      <w:r>
        <w:rPr>
          <w:rFonts w:ascii="David" w:hAnsi="David" w:cs="David"/>
          <w:color w:val="000000"/>
          <w:sz w:val="18"/>
          <w:szCs w:val="18"/>
          <w:rtl/>
        </w:rPr>
        <w:t>. תפא"י שם אות כז.</w:t>
      </w:r>
    </w:p>
  </w:footnote>
  <w:footnote w:id="551">
    <w:p w14:paraId="162D6B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551</w:t>
      </w:r>
      <w:r>
        <w:rPr>
          <w:rFonts w:ascii="David" w:hAnsi="David" w:cs="David"/>
          <w:sz w:val="24"/>
          <w:szCs w:val="24"/>
          <w:rtl/>
        </w:rPr>
        <w:t xml:space="preserve"> </w:t>
      </w:r>
      <w:r>
        <w:rPr>
          <w:rFonts w:ascii="David" w:hAnsi="David" w:cs="David"/>
          <w:color w:val="000000"/>
          <w:sz w:val="18"/>
          <w:szCs w:val="18"/>
          <w:rtl/>
        </w:rPr>
        <w:t>. ע"ע אפר חטאת ציון 30. רש"י דלהלן.</w:t>
      </w:r>
    </w:p>
  </w:footnote>
  <w:footnote w:id="552">
    <w:p w14:paraId="678F0EB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552</w:t>
      </w:r>
      <w:r>
        <w:rPr>
          <w:rFonts w:ascii="David" w:hAnsi="David" w:cs="David"/>
          <w:sz w:val="24"/>
          <w:szCs w:val="24"/>
          <w:rtl/>
        </w:rPr>
        <w:t xml:space="preserve"> </w:t>
      </w:r>
      <w:r>
        <w:rPr>
          <w:rFonts w:ascii="David" w:hAnsi="David" w:cs="David"/>
          <w:color w:val="000000"/>
          <w:sz w:val="18"/>
          <w:szCs w:val="18"/>
          <w:rtl/>
        </w:rPr>
        <w:t>. עי' יומא ויבמות שם, ורש"י יומא שם ד"ה לרבנן.</w:t>
      </w:r>
    </w:p>
  </w:footnote>
  <w:footnote w:id="553">
    <w:p w14:paraId="7633723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553</w:t>
      </w:r>
      <w:r>
        <w:rPr>
          <w:rFonts w:ascii="David" w:hAnsi="David" w:cs="David"/>
          <w:sz w:val="24"/>
          <w:szCs w:val="24"/>
          <w:rtl/>
        </w:rPr>
        <w:t xml:space="preserve"> </w:t>
      </w:r>
      <w:r>
        <w:rPr>
          <w:rFonts w:ascii="David" w:hAnsi="David" w:cs="David"/>
          <w:color w:val="000000"/>
          <w:sz w:val="18"/>
          <w:szCs w:val="18"/>
          <w:rtl/>
        </w:rPr>
        <w:t>. במדבר יט יז. יומא ויבמות שם.</w:t>
      </w:r>
    </w:p>
  </w:footnote>
  <w:footnote w:id="554">
    <w:p w14:paraId="2EB29B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554</w:t>
      </w:r>
      <w:r>
        <w:rPr>
          <w:rFonts w:ascii="David" w:hAnsi="David" w:cs="David"/>
          <w:sz w:val="24"/>
          <w:szCs w:val="24"/>
          <w:rtl/>
        </w:rPr>
        <w:t xml:space="preserve"> </w:t>
      </w:r>
      <w:r>
        <w:rPr>
          <w:rFonts w:ascii="David" w:hAnsi="David" w:cs="David"/>
          <w:color w:val="000000"/>
          <w:sz w:val="18"/>
          <w:szCs w:val="18"/>
          <w:rtl/>
        </w:rPr>
        <w:t>. רש"י יומא שם ויבמות שם ד"ה ולקחו. ועי' ציון 176 ואילך, שי"ס שאף המילוי בכלל דרשה זו.</w:t>
      </w:r>
    </w:p>
  </w:footnote>
  <w:footnote w:id="555">
    <w:p w14:paraId="150360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555</w:t>
      </w:r>
      <w:r>
        <w:rPr>
          <w:rFonts w:ascii="David" w:hAnsi="David" w:cs="David"/>
          <w:sz w:val="24"/>
          <w:szCs w:val="24"/>
          <w:rtl/>
        </w:rPr>
        <w:t xml:space="preserve"> </w:t>
      </w:r>
      <w:r>
        <w:rPr>
          <w:rFonts w:ascii="David" w:hAnsi="David" w:cs="David"/>
          <w:color w:val="000000"/>
          <w:sz w:val="18"/>
          <w:szCs w:val="18"/>
          <w:rtl/>
        </w:rPr>
        <w:t>. במדבר שם.</w:t>
      </w:r>
    </w:p>
  </w:footnote>
  <w:footnote w:id="556">
    <w:p w14:paraId="3DAC1F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556</w:t>
      </w:r>
      <w:r>
        <w:rPr>
          <w:rFonts w:ascii="David" w:hAnsi="David" w:cs="David"/>
          <w:sz w:val="24"/>
          <w:szCs w:val="24"/>
          <w:rtl/>
        </w:rPr>
        <w:t xml:space="preserve"> </w:t>
      </w:r>
      <w:r>
        <w:rPr>
          <w:rFonts w:ascii="David" w:hAnsi="David" w:cs="David"/>
          <w:color w:val="000000"/>
          <w:sz w:val="18"/>
          <w:szCs w:val="18"/>
          <w:rtl/>
        </w:rPr>
        <w:t>. ר"ח יומא שם; רבינו אליקים שם. ועי' ציון 119, שהכתוב: ונתן וגו' נאמר לענין המילוי, וציון 444, שנאמר אף לענין הקידוש, ועי' ציון 521.</w:t>
      </w:r>
    </w:p>
  </w:footnote>
  <w:footnote w:id="557">
    <w:p w14:paraId="0F4152A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557</w:t>
      </w:r>
      <w:r>
        <w:rPr>
          <w:rFonts w:ascii="David" w:hAnsi="David" w:cs="David"/>
          <w:sz w:val="24"/>
          <w:szCs w:val="24"/>
          <w:rtl/>
        </w:rPr>
        <w:t xml:space="preserve"> </w:t>
      </w:r>
      <w:r>
        <w:rPr>
          <w:rFonts w:ascii="David" w:hAnsi="David" w:cs="David"/>
          <w:color w:val="000000"/>
          <w:sz w:val="18"/>
          <w:szCs w:val="18"/>
          <w:rtl/>
        </w:rPr>
        <w:t>. פרה שם; תוספתא שם פ"ה; יבמות שם. ולכאו' ה"ה עבד, שהוקש לאשה, ע"ע עבד כנעני. ועי' ערכין שם, שלר' יהודה המשנה שבציון 544 באה לרבות קטן, עי' ציון 580, ועי' גבו"א יומא שם.</w:t>
      </w:r>
    </w:p>
  </w:footnote>
  <w:footnote w:id="558">
    <w:p w14:paraId="580DCD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558</w:t>
      </w:r>
      <w:r>
        <w:rPr>
          <w:rFonts w:ascii="David" w:hAnsi="David" w:cs="David"/>
          <w:sz w:val="24"/>
          <w:szCs w:val="24"/>
          <w:rtl/>
        </w:rPr>
        <w:t xml:space="preserve"> </w:t>
      </w:r>
      <w:r>
        <w:rPr>
          <w:rFonts w:ascii="David" w:hAnsi="David" w:cs="David"/>
          <w:color w:val="000000"/>
          <w:sz w:val="18"/>
          <w:szCs w:val="18"/>
          <w:rtl/>
        </w:rPr>
        <w:t>. יומא ויבמות שם. ועי' יבמות שם: אי הכי אשה נמי, ומהרש"א שם שהל' מגומגם, והיינו שצריך טעם לפסול אשה בלא שייכות לדין קטן המוזכר שם, ועי' תור"פ שם של"ג כן, וכן ביומא הגי' בע"א. ועי' ציון 170.</w:t>
      </w:r>
    </w:p>
  </w:footnote>
  <w:footnote w:id="559">
    <w:p w14:paraId="249578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559</w:t>
      </w:r>
      <w:r>
        <w:rPr>
          <w:rFonts w:ascii="David" w:hAnsi="David" w:cs="David"/>
          <w:sz w:val="24"/>
          <w:szCs w:val="24"/>
          <w:rtl/>
        </w:rPr>
        <w:t xml:space="preserve"> </w:t>
      </w:r>
      <w:r>
        <w:rPr>
          <w:rFonts w:ascii="David" w:hAnsi="David" w:cs="David"/>
          <w:color w:val="000000"/>
          <w:sz w:val="18"/>
          <w:szCs w:val="18"/>
          <w:rtl/>
        </w:rPr>
        <w:t>. ע"ע אשה ציון 1.</w:t>
      </w:r>
    </w:p>
  </w:footnote>
  <w:footnote w:id="560">
    <w:p w14:paraId="153B60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560</w:t>
      </w:r>
      <w:r>
        <w:rPr>
          <w:rFonts w:ascii="David" w:hAnsi="David" w:cs="David"/>
          <w:sz w:val="24"/>
          <w:szCs w:val="24"/>
          <w:rtl/>
        </w:rPr>
        <w:t xml:space="preserve"> </w:t>
      </w:r>
      <w:r>
        <w:rPr>
          <w:rFonts w:ascii="David" w:hAnsi="David" w:cs="David"/>
          <w:color w:val="000000"/>
          <w:sz w:val="18"/>
          <w:szCs w:val="18"/>
          <w:rtl/>
        </w:rPr>
        <w:t>. תוס' יומא שם ד"ה ונתן; תור"פ יבמות שם; תורי"ד יומא שם.</w:t>
      </w:r>
    </w:p>
  </w:footnote>
  <w:footnote w:id="561">
    <w:p w14:paraId="21E543E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561</w:t>
      </w:r>
      <w:r>
        <w:rPr>
          <w:rFonts w:ascii="David" w:hAnsi="David" w:cs="David"/>
          <w:sz w:val="24"/>
          <w:szCs w:val="24"/>
          <w:rtl/>
        </w:rPr>
        <w:t xml:space="preserve"> </w:t>
      </w:r>
      <w:r>
        <w:rPr>
          <w:rFonts w:ascii="David" w:hAnsi="David" w:cs="David"/>
          <w:color w:val="000000"/>
          <w:sz w:val="18"/>
          <w:szCs w:val="18"/>
          <w:rtl/>
        </w:rPr>
        <w:t>. תוס' יבמות שם ד"ה ונתן; תוס' רא"ש יומא ויבמות שם; תו"י יומא שם.</w:t>
      </w:r>
    </w:p>
  </w:footnote>
  <w:footnote w:id="562">
    <w:p w14:paraId="736A35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562</w:t>
      </w:r>
      <w:r>
        <w:rPr>
          <w:rFonts w:ascii="David" w:hAnsi="David" w:cs="David"/>
          <w:sz w:val="24"/>
          <w:szCs w:val="24"/>
          <w:rtl/>
        </w:rPr>
        <w:t xml:space="preserve"> </w:t>
      </w:r>
      <w:r>
        <w:rPr>
          <w:rFonts w:ascii="David" w:hAnsi="David" w:cs="David"/>
          <w:color w:val="000000"/>
          <w:sz w:val="18"/>
          <w:szCs w:val="18"/>
          <w:rtl/>
        </w:rPr>
        <w:t>. שיח יצחק (נוניס) יומא שם. וע"ש שהלימודים מן הכתוב "ונתן עליו", שבציונים 419 ואילך, 514 ואילך, היו נלמדים אף מהכתוב "ועליו" לבד. ועי' ערל"נ יבמות שם, שד' תוס' שם לאו דוקא, ולא מיתור למדו, לפי שהכתוב "ונתן" אינו מיותר, אלא כוונתם כראשונים שבציון 560, ועי' מהרש"א מהדו"ב שם.</w:t>
      </w:r>
    </w:p>
  </w:footnote>
  <w:footnote w:id="563">
    <w:p w14:paraId="4C8EA2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563</w:t>
      </w:r>
      <w:r>
        <w:rPr>
          <w:rFonts w:ascii="David" w:hAnsi="David" w:cs="David"/>
          <w:sz w:val="24"/>
          <w:szCs w:val="24"/>
          <w:rtl/>
        </w:rPr>
        <w:t xml:space="preserve"> </w:t>
      </w:r>
      <w:r>
        <w:rPr>
          <w:rFonts w:ascii="David" w:hAnsi="David" w:cs="David"/>
          <w:color w:val="000000"/>
          <w:sz w:val="18"/>
          <w:szCs w:val="18"/>
          <w:rtl/>
        </w:rPr>
        <w:t>. ציונים 465, 508 ואילך, 528, ועי' ציון 509.</w:t>
      </w:r>
    </w:p>
  </w:footnote>
  <w:footnote w:id="564">
    <w:p w14:paraId="170B67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564</w:t>
      </w:r>
      <w:r>
        <w:rPr>
          <w:rFonts w:ascii="David" w:hAnsi="David" w:cs="David"/>
          <w:sz w:val="24"/>
          <w:szCs w:val="24"/>
          <w:rtl/>
        </w:rPr>
        <w:t xml:space="preserve"> </w:t>
      </w:r>
      <w:r>
        <w:rPr>
          <w:rFonts w:ascii="David" w:hAnsi="David" w:cs="David"/>
          <w:color w:val="000000"/>
          <w:sz w:val="18"/>
          <w:szCs w:val="18"/>
          <w:rtl/>
        </w:rPr>
        <w:t>. ע"ע אנדרוגינוס ציון 2 ואילך, מח' בזה.</w:t>
      </w:r>
    </w:p>
  </w:footnote>
  <w:footnote w:id="565">
    <w:p w14:paraId="2B7E66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565</w:t>
      </w:r>
      <w:r>
        <w:rPr>
          <w:rFonts w:ascii="David" w:hAnsi="David" w:cs="David"/>
          <w:sz w:val="24"/>
          <w:szCs w:val="24"/>
          <w:rtl/>
        </w:rPr>
        <w:t xml:space="preserve"> </w:t>
      </w:r>
      <w:r>
        <w:rPr>
          <w:rFonts w:ascii="David" w:hAnsi="David" w:cs="David"/>
          <w:color w:val="000000"/>
          <w:sz w:val="18"/>
          <w:szCs w:val="18"/>
          <w:rtl/>
        </w:rPr>
        <w:t>. עי' לעיל. תוספתא שם; יבמות שם.</w:t>
      </w:r>
    </w:p>
  </w:footnote>
  <w:footnote w:id="566">
    <w:p w14:paraId="2B2376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566</w:t>
      </w:r>
      <w:r>
        <w:rPr>
          <w:rFonts w:ascii="David" w:hAnsi="David" w:cs="David"/>
          <w:sz w:val="24"/>
          <w:szCs w:val="24"/>
          <w:rtl/>
        </w:rPr>
        <w:t xml:space="preserve"> </w:t>
      </w:r>
      <w:r>
        <w:rPr>
          <w:rFonts w:ascii="David" w:hAnsi="David" w:cs="David"/>
          <w:color w:val="000000"/>
          <w:sz w:val="18"/>
          <w:szCs w:val="18"/>
          <w:rtl/>
        </w:rPr>
        <w:t>. רמב"ם פרה פ"ו ה"ב.</w:t>
      </w:r>
    </w:p>
  </w:footnote>
  <w:footnote w:id="567">
    <w:p w14:paraId="0A8B295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567</w:t>
      </w:r>
      <w:r>
        <w:rPr>
          <w:rFonts w:ascii="David" w:hAnsi="David" w:cs="David"/>
          <w:sz w:val="24"/>
          <w:szCs w:val="24"/>
          <w:rtl/>
        </w:rPr>
        <w:t xml:space="preserve"> </w:t>
      </w:r>
      <w:r>
        <w:rPr>
          <w:rFonts w:ascii="David" w:hAnsi="David" w:cs="David"/>
          <w:color w:val="000000"/>
          <w:sz w:val="18"/>
          <w:szCs w:val="18"/>
          <w:rtl/>
        </w:rPr>
        <w:t>. פרה פ"ה מ"ד; תוספתא שם פ"ה.</w:t>
      </w:r>
    </w:p>
  </w:footnote>
  <w:footnote w:id="568">
    <w:p w14:paraId="17BD34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568</w:t>
      </w:r>
      <w:r>
        <w:rPr>
          <w:rFonts w:ascii="David" w:hAnsi="David" w:cs="David"/>
          <w:sz w:val="24"/>
          <w:szCs w:val="24"/>
          <w:rtl/>
        </w:rPr>
        <w:t xml:space="preserve"> </w:t>
      </w:r>
      <w:r>
        <w:rPr>
          <w:rFonts w:ascii="David" w:hAnsi="David" w:cs="David"/>
          <w:color w:val="000000"/>
          <w:sz w:val="18"/>
          <w:szCs w:val="18"/>
          <w:rtl/>
        </w:rPr>
        <w:t>. ע"ע אפר חטאת ציון 30.</w:t>
      </w:r>
    </w:p>
  </w:footnote>
  <w:footnote w:id="569">
    <w:p w14:paraId="508F8E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569</w:t>
      </w:r>
      <w:r>
        <w:rPr>
          <w:rFonts w:ascii="David" w:hAnsi="David" w:cs="David"/>
          <w:sz w:val="24"/>
          <w:szCs w:val="24"/>
          <w:rtl/>
        </w:rPr>
        <w:t xml:space="preserve"> </w:t>
      </w:r>
      <w:r>
        <w:rPr>
          <w:rFonts w:ascii="David" w:hAnsi="David" w:cs="David"/>
          <w:color w:val="000000"/>
          <w:sz w:val="18"/>
          <w:szCs w:val="18"/>
          <w:rtl/>
        </w:rPr>
        <w:t>. עי' יומא מג א ויבמות עב ב, ורש"י יומא שם ד"ה לרבנן.</w:t>
      </w:r>
    </w:p>
  </w:footnote>
  <w:footnote w:id="570">
    <w:p w14:paraId="2E5FC06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570</w:t>
      </w:r>
      <w:r>
        <w:rPr>
          <w:rFonts w:ascii="David" w:hAnsi="David" w:cs="David"/>
          <w:sz w:val="24"/>
          <w:szCs w:val="24"/>
          <w:rtl/>
        </w:rPr>
        <w:t xml:space="preserve"> </w:t>
      </w:r>
      <w:r>
        <w:rPr>
          <w:rFonts w:ascii="David" w:hAnsi="David" w:cs="David"/>
          <w:color w:val="000000"/>
          <w:sz w:val="18"/>
          <w:szCs w:val="18"/>
          <w:rtl/>
        </w:rPr>
        <w:t>. ציון 553 ואילך.</w:t>
      </w:r>
    </w:p>
  </w:footnote>
  <w:footnote w:id="571">
    <w:p w14:paraId="2A6625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571</w:t>
      </w:r>
      <w:r>
        <w:rPr>
          <w:rFonts w:ascii="David" w:hAnsi="David" w:cs="David"/>
          <w:sz w:val="24"/>
          <w:szCs w:val="24"/>
          <w:rtl/>
        </w:rPr>
        <w:t xml:space="preserve"> </w:t>
      </w:r>
      <w:r>
        <w:rPr>
          <w:rFonts w:ascii="David" w:hAnsi="David" w:cs="David"/>
          <w:color w:val="000000"/>
          <w:sz w:val="18"/>
          <w:szCs w:val="18"/>
          <w:rtl/>
        </w:rPr>
        <w:t>. רמב"ם פרה פ"ו ה"ב.</w:t>
      </w:r>
    </w:p>
  </w:footnote>
  <w:footnote w:id="572">
    <w:p w14:paraId="2BAC70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572</w:t>
      </w:r>
      <w:r>
        <w:rPr>
          <w:rFonts w:ascii="David" w:hAnsi="David" w:cs="David"/>
          <w:sz w:val="24"/>
          <w:szCs w:val="24"/>
          <w:rtl/>
        </w:rPr>
        <w:t xml:space="preserve"> </w:t>
      </w:r>
      <w:r>
        <w:rPr>
          <w:rFonts w:ascii="David" w:hAnsi="David" w:cs="David"/>
          <w:color w:val="000000"/>
          <w:sz w:val="18"/>
          <w:szCs w:val="18"/>
          <w:rtl/>
        </w:rPr>
        <w:t>. תוי"ט פרה פי"ב מ"י, ע"פ משנה שם שקטן שיש בו דעת כשר להזאה, ע"ע הזאה (ב) ציון 408, ומוכח שלענין קידוש שלא אמרו כן, פסול. וע"ש בטעם החילוק בין קידוש להזאה, ועי' שיעורי ר"ד פוברסקי יבמות שם אות קיג.</w:t>
      </w:r>
    </w:p>
  </w:footnote>
  <w:footnote w:id="573">
    <w:p w14:paraId="1169CF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573</w:t>
      </w:r>
      <w:r>
        <w:rPr>
          <w:rFonts w:ascii="David" w:hAnsi="David" w:cs="David"/>
          <w:sz w:val="24"/>
          <w:szCs w:val="24"/>
          <w:rtl/>
        </w:rPr>
        <w:t xml:space="preserve"> </w:t>
      </w:r>
      <w:r>
        <w:rPr>
          <w:rFonts w:ascii="David" w:hAnsi="David" w:cs="David"/>
          <w:color w:val="000000"/>
          <w:sz w:val="18"/>
          <w:szCs w:val="18"/>
          <w:rtl/>
        </w:rPr>
        <w:t>. עי' חולין יג א ורש"י ד"ה יש להן מעשה, וע"ע חרש שוטה וקטן ציון 227, אופן נוסף שמחשבתם מועילה, ושם, שיש מחלקים בין קטן לחרש ושוטה.</w:t>
      </w:r>
    </w:p>
  </w:footnote>
  <w:footnote w:id="574">
    <w:p w14:paraId="23470A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574</w:t>
      </w:r>
      <w:r>
        <w:rPr>
          <w:rFonts w:ascii="David" w:hAnsi="David" w:cs="David"/>
          <w:sz w:val="24"/>
          <w:szCs w:val="24"/>
          <w:rtl/>
        </w:rPr>
        <w:t xml:space="preserve"> </w:t>
      </w:r>
      <w:r>
        <w:rPr>
          <w:rFonts w:ascii="David" w:hAnsi="David" w:cs="David"/>
          <w:color w:val="000000"/>
          <w:sz w:val="18"/>
          <w:szCs w:val="18"/>
          <w:rtl/>
        </w:rPr>
        <w:t>. דעת יוסף פרה פ"ה שם, שלכן הוצרכו ללמוד פסולם מן הכתוב, עי' לעיל.</w:t>
      </w:r>
    </w:p>
  </w:footnote>
  <w:footnote w:id="575">
    <w:p w14:paraId="775E0C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575</w:t>
      </w:r>
      <w:r>
        <w:rPr>
          <w:rFonts w:ascii="David" w:hAnsi="David" w:cs="David"/>
          <w:sz w:val="24"/>
          <w:szCs w:val="24"/>
          <w:rtl/>
        </w:rPr>
        <w:t xml:space="preserve"> </w:t>
      </w:r>
      <w:r>
        <w:rPr>
          <w:rFonts w:ascii="David" w:hAnsi="David" w:cs="David"/>
          <w:color w:val="000000"/>
          <w:sz w:val="18"/>
          <w:szCs w:val="18"/>
          <w:rtl/>
        </w:rPr>
        <w:t>. עי' חזו"א פרה סי' יא ס"ק יח: אפשר, ועי' ציון 590, ועי' חזו"נ פרה שם, וע"ע הנ"ל: בגדול עומד על גביו, שהדבר מועיל במקום שפסולם הוא משום חסרון כוונה, ועי' להלן.</w:t>
      </w:r>
    </w:p>
  </w:footnote>
  <w:footnote w:id="576">
    <w:p w14:paraId="6E1A43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576</w:t>
      </w:r>
      <w:r>
        <w:rPr>
          <w:rFonts w:ascii="David" w:hAnsi="David" w:cs="David"/>
          <w:sz w:val="24"/>
          <w:szCs w:val="24"/>
          <w:rtl/>
        </w:rPr>
        <w:t xml:space="preserve"> </w:t>
      </w:r>
      <w:r>
        <w:rPr>
          <w:rFonts w:ascii="David" w:hAnsi="David" w:cs="David"/>
          <w:color w:val="000000"/>
          <w:sz w:val="18"/>
          <w:szCs w:val="18"/>
          <w:rtl/>
        </w:rPr>
        <w:t>. עי' ציון 494.</w:t>
      </w:r>
    </w:p>
  </w:footnote>
  <w:footnote w:id="577">
    <w:p w14:paraId="00A099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577</w:t>
      </w:r>
      <w:r>
        <w:rPr>
          <w:rFonts w:ascii="David" w:hAnsi="David" w:cs="David"/>
          <w:sz w:val="24"/>
          <w:szCs w:val="24"/>
          <w:rtl/>
        </w:rPr>
        <w:t xml:space="preserve"> </w:t>
      </w:r>
      <w:r>
        <w:rPr>
          <w:rFonts w:ascii="David" w:hAnsi="David" w:cs="David"/>
          <w:color w:val="000000"/>
          <w:sz w:val="18"/>
          <w:szCs w:val="18"/>
          <w:rtl/>
        </w:rPr>
        <w:t>. חזו"א שם.</w:t>
      </w:r>
    </w:p>
  </w:footnote>
  <w:footnote w:id="578">
    <w:p w14:paraId="2C1A93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578</w:t>
      </w:r>
      <w:r>
        <w:rPr>
          <w:rFonts w:ascii="David" w:hAnsi="David" w:cs="David"/>
          <w:sz w:val="24"/>
          <w:szCs w:val="24"/>
          <w:rtl/>
        </w:rPr>
        <w:t xml:space="preserve"> </w:t>
      </w:r>
      <w:r>
        <w:rPr>
          <w:rFonts w:ascii="David" w:hAnsi="David" w:cs="David"/>
          <w:color w:val="000000"/>
          <w:sz w:val="18"/>
          <w:szCs w:val="18"/>
          <w:rtl/>
        </w:rPr>
        <w:t>. עי' תוי"ט פרה פ"ג מ"ב שם, ע"פ משנה שם ג, ורמב"ם פרה פ"ב ה"ז, שקידוש לצורך הזאה על כהן העושה פרה, נעשה ע"י תינוקות, עי' ציון 182, וכעי"ז בתפא"י בועז שם אות ו, ועי' חזו"נ שם. ועי' ציון 183, שיש שכ' כעי"ז לענין מילוי. ועי' ערה"ש פרה סי' סא ס"ז.</w:t>
      </w:r>
    </w:p>
  </w:footnote>
  <w:footnote w:id="579">
    <w:p w14:paraId="1295C0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579</w:t>
      </w:r>
      <w:r>
        <w:rPr>
          <w:rFonts w:ascii="David" w:hAnsi="David" w:cs="David"/>
          <w:sz w:val="24"/>
          <w:szCs w:val="24"/>
          <w:rtl/>
        </w:rPr>
        <w:t xml:space="preserve"> </w:t>
      </w:r>
      <w:r>
        <w:rPr>
          <w:rFonts w:ascii="David" w:hAnsi="David" w:cs="David"/>
          <w:color w:val="000000"/>
          <w:sz w:val="18"/>
          <w:szCs w:val="18"/>
          <w:rtl/>
        </w:rPr>
        <w:t>. תוס' סוכה כא א ד"ה ומביאין, שהתינוקות לא היו אלא ממלאים ולא מקדשים.</w:t>
      </w:r>
    </w:p>
  </w:footnote>
  <w:footnote w:id="580">
    <w:p w14:paraId="160D34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580</w:t>
      </w:r>
      <w:r>
        <w:rPr>
          <w:rFonts w:ascii="David" w:hAnsi="David" w:cs="David"/>
          <w:sz w:val="24"/>
          <w:szCs w:val="24"/>
          <w:rtl/>
        </w:rPr>
        <w:t xml:space="preserve"> </w:t>
      </w:r>
      <w:r>
        <w:rPr>
          <w:rFonts w:ascii="David" w:hAnsi="David" w:cs="David"/>
          <w:color w:val="000000"/>
          <w:sz w:val="18"/>
          <w:szCs w:val="18"/>
          <w:rtl/>
        </w:rPr>
        <w:t>. פרה פ"ה שם; תוספתא שם. ועי' ציונים 506, 557.</w:t>
      </w:r>
    </w:p>
  </w:footnote>
  <w:footnote w:id="581">
    <w:p w14:paraId="13B07C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581</w:t>
      </w:r>
      <w:r>
        <w:rPr>
          <w:rFonts w:ascii="David" w:hAnsi="David" w:cs="David"/>
          <w:sz w:val="24"/>
          <w:szCs w:val="24"/>
          <w:rtl/>
        </w:rPr>
        <w:t xml:space="preserve"> </w:t>
      </w:r>
      <w:r>
        <w:rPr>
          <w:rFonts w:ascii="David" w:hAnsi="David" w:cs="David"/>
          <w:color w:val="000000"/>
          <w:sz w:val="18"/>
          <w:szCs w:val="18"/>
          <w:rtl/>
        </w:rPr>
        <w:t>. במדבר יט יז.</w:t>
      </w:r>
    </w:p>
  </w:footnote>
  <w:footnote w:id="582">
    <w:p w14:paraId="74B457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582</w:t>
      </w:r>
      <w:r>
        <w:rPr>
          <w:rFonts w:ascii="David" w:hAnsi="David" w:cs="David"/>
          <w:sz w:val="24"/>
          <w:szCs w:val="24"/>
          <w:rtl/>
        </w:rPr>
        <w:t xml:space="preserve"> </w:t>
      </w:r>
      <w:r>
        <w:rPr>
          <w:rFonts w:ascii="David" w:hAnsi="David" w:cs="David"/>
          <w:color w:val="000000"/>
          <w:sz w:val="18"/>
          <w:szCs w:val="18"/>
          <w:rtl/>
        </w:rPr>
        <w:t>. ע"ע אפר חטאת ציון 29. רש"י דלהלן.</w:t>
      </w:r>
    </w:p>
  </w:footnote>
  <w:footnote w:id="583">
    <w:p w14:paraId="458E17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583</w:t>
      </w:r>
      <w:r>
        <w:rPr>
          <w:rFonts w:ascii="David" w:hAnsi="David" w:cs="David"/>
          <w:sz w:val="24"/>
          <w:szCs w:val="24"/>
          <w:rtl/>
        </w:rPr>
        <w:t xml:space="preserve"> </w:t>
      </w:r>
      <w:r>
        <w:rPr>
          <w:rFonts w:ascii="David" w:hAnsi="David" w:cs="David"/>
          <w:color w:val="000000"/>
          <w:sz w:val="18"/>
          <w:szCs w:val="18"/>
          <w:rtl/>
        </w:rPr>
        <w:t>. יומא שם, ורש"י שם ד"ה אם כן, ויבמות שם, ורש"י שם ד"ה אפילו.</w:t>
      </w:r>
    </w:p>
  </w:footnote>
  <w:footnote w:id="584">
    <w:p w14:paraId="7728F9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584</w:t>
      </w:r>
      <w:r>
        <w:rPr>
          <w:rFonts w:ascii="David" w:hAnsi="David" w:cs="David"/>
          <w:sz w:val="24"/>
          <w:szCs w:val="24"/>
          <w:rtl/>
        </w:rPr>
        <w:t xml:space="preserve"> </w:t>
      </w:r>
      <w:r>
        <w:rPr>
          <w:rFonts w:ascii="David" w:hAnsi="David" w:cs="David"/>
          <w:color w:val="000000"/>
          <w:sz w:val="18"/>
          <w:szCs w:val="18"/>
          <w:rtl/>
        </w:rPr>
        <w:t>. ראשונים דלהלן.</w:t>
      </w:r>
    </w:p>
  </w:footnote>
  <w:footnote w:id="585">
    <w:p w14:paraId="7A03CE9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585</w:t>
      </w:r>
      <w:r>
        <w:rPr>
          <w:rFonts w:ascii="David" w:hAnsi="David" w:cs="David"/>
          <w:sz w:val="24"/>
          <w:szCs w:val="24"/>
          <w:rtl/>
        </w:rPr>
        <w:t xml:space="preserve"> </w:t>
      </w:r>
      <w:r>
        <w:rPr>
          <w:rFonts w:ascii="David" w:hAnsi="David" w:cs="David"/>
          <w:color w:val="000000"/>
          <w:sz w:val="18"/>
          <w:szCs w:val="18"/>
          <w:rtl/>
        </w:rPr>
        <w:t>. תוס' יומא שם ד"ה מאי, ועי' להלן. וע"ע הנ"ל ציון 30.</w:t>
      </w:r>
    </w:p>
  </w:footnote>
  <w:footnote w:id="586">
    <w:p w14:paraId="7F195B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586</w:t>
      </w:r>
      <w:r>
        <w:rPr>
          <w:rFonts w:ascii="David" w:hAnsi="David" w:cs="David"/>
          <w:sz w:val="24"/>
          <w:szCs w:val="24"/>
          <w:rtl/>
        </w:rPr>
        <w:t xml:space="preserve"> </w:t>
      </w:r>
      <w:r>
        <w:rPr>
          <w:rFonts w:ascii="David" w:hAnsi="David" w:cs="David"/>
          <w:color w:val="000000"/>
          <w:sz w:val="18"/>
          <w:szCs w:val="18"/>
          <w:rtl/>
        </w:rPr>
        <w:t>. תוס' יבמות שם.</w:t>
      </w:r>
    </w:p>
  </w:footnote>
  <w:footnote w:id="587">
    <w:p w14:paraId="0AE2FB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587</w:t>
      </w:r>
      <w:r>
        <w:rPr>
          <w:rFonts w:ascii="David" w:hAnsi="David" w:cs="David"/>
          <w:sz w:val="24"/>
          <w:szCs w:val="24"/>
          <w:rtl/>
        </w:rPr>
        <w:t xml:space="preserve"> </w:t>
      </w:r>
      <w:r>
        <w:rPr>
          <w:rFonts w:ascii="David" w:hAnsi="David" w:cs="David"/>
          <w:color w:val="000000"/>
          <w:sz w:val="18"/>
          <w:szCs w:val="18"/>
          <w:rtl/>
        </w:rPr>
        <w:t>. חזו"א שם ס"ק יא, וע"ש שמ' שפירש כן בכוונת תוס' יומא שם, וצ"ב; דעת יוסף פרה שם. ועי' חזו"א ודעת יוסף שם, שלמדו כן מדין הזאה שלא הכשירו אלא בקטן שיש בו דעת, ע"ע הזאה (ב) ציון 408, ועי' מנ"ח מ' שצט, שבהזאה צריך שאף יהיה גדול עומד על גביו.</w:t>
      </w:r>
    </w:p>
  </w:footnote>
  <w:footnote w:id="588">
    <w:p w14:paraId="40CE6A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588</w:t>
      </w:r>
      <w:r>
        <w:rPr>
          <w:rFonts w:ascii="David" w:hAnsi="David" w:cs="David"/>
          <w:sz w:val="24"/>
          <w:szCs w:val="24"/>
          <w:rtl/>
        </w:rPr>
        <w:t xml:space="preserve"> </w:t>
      </w:r>
      <w:r>
        <w:rPr>
          <w:rFonts w:ascii="David" w:hAnsi="David" w:cs="David"/>
          <w:color w:val="000000"/>
          <w:sz w:val="18"/>
          <w:szCs w:val="18"/>
          <w:rtl/>
        </w:rPr>
        <w:t>. חזו"א שם. ועי' דעת יוסף שם, שמהכתוב ולקחו לומדים להכשיר כוונת קטן בקידוש.</w:t>
      </w:r>
    </w:p>
  </w:footnote>
  <w:footnote w:id="589">
    <w:p w14:paraId="49D486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589</w:t>
      </w:r>
      <w:r>
        <w:rPr>
          <w:rFonts w:ascii="David" w:hAnsi="David" w:cs="David"/>
          <w:sz w:val="24"/>
          <w:szCs w:val="24"/>
          <w:rtl/>
        </w:rPr>
        <w:t xml:space="preserve"> </w:t>
      </w:r>
      <w:r>
        <w:rPr>
          <w:rFonts w:ascii="David" w:hAnsi="David" w:cs="David"/>
          <w:color w:val="000000"/>
          <w:sz w:val="18"/>
          <w:szCs w:val="18"/>
          <w:rtl/>
        </w:rPr>
        <w:t>. חזו"א שם.</w:t>
      </w:r>
    </w:p>
  </w:footnote>
  <w:footnote w:id="590">
    <w:p w14:paraId="79460A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590</w:t>
      </w:r>
      <w:r>
        <w:rPr>
          <w:rFonts w:ascii="David" w:hAnsi="David" w:cs="David"/>
          <w:sz w:val="24"/>
          <w:szCs w:val="24"/>
          <w:rtl/>
        </w:rPr>
        <w:t xml:space="preserve"> </w:t>
      </w:r>
      <w:r>
        <w:rPr>
          <w:rFonts w:ascii="David" w:hAnsi="David" w:cs="David"/>
          <w:color w:val="000000"/>
          <w:sz w:val="18"/>
          <w:szCs w:val="18"/>
          <w:rtl/>
        </w:rPr>
        <w:t>. תוספתא שם, ועי' ירו' תרומות פ"א ה"א ורידב"ז שם בשם הגר"א וס' ניר שם ויפ"ע יומא מג א בביאורו. וע"ע הנ"ל ציון 407, שכן שיטתו אף לענין הזאה. וע"ע חרש שוטה וקטן ציון 272, שי"מ כן בד' ירושלמי תרומות פ"א ה"א: חרש שוטה וקטן שקידשו.</w:t>
      </w:r>
    </w:p>
  </w:footnote>
  <w:footnote w:id="591">
    <w:p w14:paraId="0F1637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591</w:t>
      </w:r>
      <w:r>
        <w:rPr>
          <w:rFonts w:ascii="David" w:hAnsi="David" w:cs="David"/>
          <w:sz w:val="24"/>
          <w:szCs w:val="24"/>
          <w:rtl/>
        </w:rPr>
        <w:t xml:space="preserve"> </w:t>
      </w:r>
      <w:r>
        <w:rPr>
          <w:rFonts w:ascii="David" w:hAnsi="David" w:cs="David"/>
          <w:color w:val="000000"/>
          <w:sz w:val="18"/>
          <w:szCs w:val="18"/>
          <w:rtl/>
        </w:rPr>
        <w:t>. חס"ד שם. וכ"כ גבו"א יומא שם, ע"פ ד' ר' ישמעאל בנו של ריב"ב לענין הזאה, עי' לעיל. ולכאו' כ"ה אף לפי' שבציון 504 בד' ר' ישמעאל.</w:t>
      </w:r>
    </w:p>
  </w:footnote>
  <w:footnote w:id="592">
    <w:p w14:paraId="625CBA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592</w:t>
      </w:r>
      <w:r>
        <w:rPr>
          <w:rFonts w:ascii="David" w:hAnsi="David" w:cs="David"/>
          <w:sz w:val="24"/>
          <w:szCs w:val="24"/>
          <w:rtl/>
        </w:rPr>
        <w:t xml:space="preserve"> </w:t>
      </w:r>
      <w:r>
        <w:rPr>
          <w:rFonts w:ascii="David" w:hAnsi="David" w:cs="David"/>
          <w:color w:val="000000"/>
          <w:sz w:val="18"/>
          <w:szCs w:val="18"/>
          <w:rtl/>
        </w:rPr>
        <w:t>. ע"ע כסוי הדם ציון 512 ואילך. עי' גבו"א שם; חס"ד שם.</w:t>
      </w:r>
    </w:p>
  </w:footnote>
  <w:footnote w:id="593">
    <w:p w14:paraId="1A75B5B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593</w:t>
      </w:r>
      <w:r>
        <w:rPr>
          <w:rFonts w:ascii="David" w:hAnsi="David" w:cs="David"/>
          <w:sz w:val="24"/>
          <w:szCs w:val="24"/>
          <w:rtl/>
        </w:rPr>
        <w:t xml:space="preserve"> </w:t>
      </w:r>
      <w:r>
        <w:rPr>
          <w:rFonts w:ascii="David" w:hAnsi="David" w:cs="David"/>
          <w:color w:val="000000"/>
          <w:sz w:val="18"/>
          <w:szCs w:val="18"/>
          <w:rtl/>
        </w:rPr>
        <w:t>. ציון 504 ואילך.</w:t>
      </w:r>
    </w:p>
  </w:footnote>
  <w:footnote w:id="594">
    <w:p w14:paraId="30C7FB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594</w:t>
      </w:r>
      <w:r>
        <w:rPr>
          <w:rFonts w:ascii="David" w:hAnsi="David" w:cs="David"/>
          <w:sz w:val="24"/>
          <w:szCs w:val="24"/>
          <w:rtl/>
        </w:rPr>
        <w:t xml:space="preserve"> </w:t>
      </w:r>
      <w:r>
        <w:rPr>
          <w:rFonts w:ascii="David" w:hAnsi="David" w:cs="David"/>
          <w:color w:val="000000"/>
          <w:sz w:val="18"/>
          <w:szCs w:val="18"/>
          <w:rtl/>
        </w:rPr>
        <w:t>. עי' משנה שבציון 617; עי' ציון 614, שערל פסול לקידוש, מפני שהוא כטמא, ועי' חזו"א פרה סי' ו ס"ק י; עי' רמב"ם פרה פ"א הי"ג, וכעי"ז שם פ"י ה"ה, ועי' דעת יוסף פרה פ"ג מ"ח, ועי' ציון 1138. והיינו אף באופן שאינו נוגע במים או באפר ומטמאם.</w:t>
      </w:r>
    </w:p>
  </w:footnote>
  <w:footnote w:id="595">
    <w:p w14:paraId="030934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595</w:t>
      </w:r>
      <w:r>
        <w:rPr>
          <w:rFonts w:ascii="David" w:hAnsi="David" w:cs="David"/>
          <w:sz w:val="24"/>
          <w:szCs w:val="24"/>
          <w:rtl/>
        </w:rPr>
        <w:t xml:space="preserve"> </w:t>
      </w:r>
      <w:r>
        <w:rPr>
          <w:rFonts w:ascii="David" w:hAnsi="David" w:cs="David"/>
          <w:color w:val="000000"/>
          <w:sz w:val="18"/>
          <w:szCs w:val="18"/>
          <w:rtl/>
        </w:rPr>
        <w:t>. עי' ציון 569.</w:t>
      </w:r>
    </w:p>
  </w:footnote>
  <w:footnote w:id="596">
    <w:p w14:paraId="133681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596</w:t>
      </w:r>
      <w:r>
        <w:rPr>
          <w:rFonts w:ascii="David" w:hAnsi="David" w:cs="David"/>
          <w:sz w:val="24"/>
          <w:szCs w:val="24"/>
          <w:rtl/>
        </w:rPr>
        <w:t xml:space="preserve"> </w:t>
      </w:r>
      <w:r>
        <w:rPr>
          <w:rFonts w:ascii="David" w:hAnsi="David" w:cs="David"/>
          <w:color w:val="000000"/>
          <w:sz w:val="18"/>
          <w:szCs w:val="18"/>
          <w:rtl/>
        </w:rPr>
        <w:t>. במדבר יט ט. ע"ע אפר חטאת ציון 33 ואילך.</w:t>
      </w:r>
    </w:p>
  </w:footnote>
  <w:footnote w:id="597">
    <w:p w14:paraId="2D00BB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597</w:t>
      </w:r>
      <w:r>
        <w:rPr>
          <w:rFonts w:ascii="David" w:hAnsi="David" w:cs="David"/>
          <w:sz w:val="24"/>
          <w:szCs w:val="24"/>
          <w:rtl/>
        </w:rPr>
        <w:t xml:space="preserve"> </w:t>
      </w:r>
      <w:r>
        <w:rPr>
          <w:rFonts w:ascii="David" w:hAnsi="David" w:cs="David"/>
          <w:color w:val="000000"/>
          <w:sz w:val="18"/>
          <w:szCs w:val="18"/>
          <w:rtl/>
        </w:rPr>
        <w:t>. חזו"א שם, ע"פ גמ' שבציון 569, שלמדו מאסיפה לקידוש לענין פסול קטן.</w:t>
      </w:r>
    </w:p>
  </w:footnote>
  <w:footnote w:id="598">
    <w:p w14:paraId="10269C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598</w:t>
      </w:r>
      <w:r>
        <w:rPr>
          <w:rFonts w:ascii="David" w:hAnsi="David" w:cs="David"/>
          <w:sz w:val="24"/>
          <w:szCs w:val="24"/>
          <w:rtl/>
        </w:rPr>
        <w:t xml:space="preserve"> </w:t>
      </w:r>
      <w:r>
        <w:rPr>
          <w:rFonts w:ascii="David" w:hAnsi="David" w:cs="David"/>
          <w:color w:val="000000"/>
          <w:sz w:val="18"/>
          <w:szCs w:val="18"/>
          <w:rtl/>
        </w:rPr>
        <w:t>. במדבר יט ט.</w:t>
      </w:r>
    </w:p>
  </w:footnote>
  <w:footnote w:id="599">
    <w:p w14:paraId="345C58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599</w:t>
      </w:r>
      <w:r>
        <w:rPr>
          <w:rFonts w:ascii="David" w:hAnsi="David" w:cs="David"/>
          <w:sz w:val="24"/>
          <w:szCs w:val="24"/>
          <w:rtl/>
        </w:rPr>
        <w:t xml:space="preserve"> </w:t>
      </w:r>
      <w:r>
        <w:rPr>
          <w:rFonts w:ascii="David" w:hAnsi="David" w:cs="David"/>
          <w:color w:val="000000"/>
          <w:sz w:val="18"/>
          <w:szCs w:val="18"/>
          <w:rtl/>
        </w:rPr>
        <w:t>. עי' פהמ"ש לרמב"ם פרה פ"ד מ"ד, לענין פסול מלאכה במי חטאת, וע"ע הסח הדעת ציון 200.</w:t>
      </w:r>
    </w:p>
  </w:footnote>
  <w:footnote w:id="600">
    <w:p w14:paraId="55BFB3A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600</w:t>
      </w:r>
      <w:r>
        <w:rPr>
          <w:rFonts w:ascii="David" w:hAnsi="David" w:cs="David"/>
          <w:sz w:val="24"/>
          <w:szCs w:val="24"/>
          <w:rtl/>
        </w:rPr>
        <w:t xml:space="preserve"> </w:t>
      </w:r>
      <w:r>
        <w:rPr>
          <w:rFonts w:ascii="David" w:hAnsi="David" w:cs="David"/>
          <w:color w:val="000000"/>
          <w:sz w:val="18"/>
          <w:szCs w:val="18"/>
          <w:rtl/>
        </w:rPr>
        <w:t>. ע"ע פרה אדומה.</w:t>
      </w:r>
    </w:p>
  </w:footnote>
  <w:footnote w:id="601">
    <w:p w14:paraId="365C18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601</w:t>
      </w:r>
      <w:r>
        <w:rPr>
          <w:rFonts w:ascii="David" w:hAnsi="David" w:cs="David"/>
          <w:sz w:val="24"/>
          <w:szCs w:val="24"/>
          <w:rtl/>
        </w:rPr>
        <w:t xml:space="preserve"> </w:t>
      </w:r>
      <w:r>
        <w:rPr>
          <w:rFonts w:ascii="David" w:hAnsi="David" w:cs="David"/>
          <w:color w:val="000000"/>
          <w:sz w:val="18"/>
          <w:szCs w:val="18"/>
          <w:rtl/>
        </w:rPr>
        <w:t>. דעת יוסף שם. וצ"ב למה צריך לטעם זה, והרי אפשר לפסול טמא כמו שפסלו קטן, וכנ"ל, ועוד צ"ב, למה בציון 569 לא פסלו קטן מטעם זה.</w:t>
      </w:r>
    </w:p>
  </w:footnote>
  <w:footnote w:id="602">
    <w:p w14:paraId="0619A3D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602</w:t>
      </w:r>
      <w:r>
        <w:rPr>
          <w:rFonts w:ascii="David" w:hAnsi="David" w:cs="David"/>
          <w:sz w:val="24"/>
          <w:szCs w:val="24"/>
          <w:rtl/>
        </w:rPr>
        <w:t xml:space="preserve"> </w:t>
      </w:r>
      <w:r>
        <w:rPr>
          <w:rFonts w:ascii="David" w:hAnsi="David" w:cs="David"/>
          <w:color w:val="000000"/>
          <w:sz w:val="18"/>
          <w:szCs w:val="18"/>
          <w:rtl/>
        </w:rPr>
        <w:t>. ע"ע אפר חטאת ציון 81 ואילך, ושם ציון 86 ואילך, על מיני הטומאות הפוסלים משום מקום טמא. חזו"א שם. וע"ש שכ"ה אף כשאוחזו ע"י כלי, וע"ע הנ"ל שם. על דיני קבלת טומאה באפר, ע"ע הנ"ל ציון 104 ואילך, וע"ש ציון 96 ואילך, אם כשמונח במקום טמא נטמא או נפסל.</w:t>
      </w:r>
    </w:p>
  </w:footnote>
  <w:footnote w:id="603">
    <w:p w14:paraId="20AF28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603</w:t>
      </w:r>
      <w:r>
        <w:rPr>
          <w:rFonts w:ascii="David" w:hAnsi="David" w:cs="David"/>
          <w:sz w:val="24"/>
          <w:szCs w:val="24"/>
          <w:rtl/>
        </w:rPr>
        <w:t xml:space="preserve"> </w:t>
      </w:r>
      <w:r>
        <w:rPr>
          <w:rFonts w:ascii="David" w:hAnsi="David" w:cs="David"/>
          <w:color w:val="000000"/>
          <w:sz w:val="18"/>
          <w:szCs w:val="18"/>
          <w:rtl/>
        </w:rPr>
        <w:t>. רמב"ם פ"א שם. וע"ע פרה אדומה. וע"ע הנ"ל וע' טבול יום ציון 331 ואילך, שכ"ה לכל עבודות הפרה.</w:t>
      </w:r>
    </w:p>
  </w:footnote>
  <w:footnote w:id="604">
    <w:p w14:paraId="7ABFF4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604</w:t>
      </w:r>
      <w:r>
        <w:rPr>
          <w:rFonts w:ascii="David" w:hAnsi="David" w:cs="David"/>
          <w:sz w:val="24"/>
          <w:szCs w:val="24"/>
          <w:rtl/>
        </w:rPr>
        <w:t xml:space="preserve"> </w:t>
      </w:r>
      <w:r>
        <w:rPr>
          <w:rFonts w:ascii="David" w:hAnsi="David" w:cs="David"/>
          <w:color w:val="000000"/>
          <w:sz w:val="18"/>
          <w:szCs w:val="18"/>
          <w:rtl/>
        </w:rPr>
        <w:t>. ע"ע טבול יום ציון 3.</w:t>
      </w:r>
    </w:p>
  </w:footnote>
  <w:footnote w:id="605">
    <w:p w14:paraId="312473A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605</w:t>
      </w:r>
      <w:r>
        <w:rPr>
          <w:rFonts w:ascii="David" w:hAnsi="David" w:cs="David"/>
          <w:sz w:val="24"/>
          <w:szCs w:val="24"/>
          <w:rtl/>
        </w:rPr>
        <w:t xml:space="preserve"> </w:t>
      </w:r>
      <w:r>
        <w:rPr>
          <w:rFonts w:ascii="David" w:hAnsi="David" w:cs="David"/>
          <w:color w:val="000000"/>
          <w:sz w:val="18"/>
          <w:szCs w:val="18"/>
          <w:rtl/>
        </w:rPr>
        <w:t>. ע"ע הנ"ל: באכילת תרומה ומעשר שני.</w:t>
      </w:r>
    </w:p>
  </w:footnote>
  <w:footnote w:id="606">
    <w:p w14:paraId="5E76A19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606</w:t>
      </w:r>
      <w:r>
        <w:rPr>
          <w:rFonts w:ascii="David" w:hAnsi="David" w:cs="David"/>
          <w:sz w:val="24"/>
          <w:szCs w:val="24"/>
          <w:rtl/>
        </w:rPr>
        <w:t xml:space="preserve"> </w:t>
      </w:r>
      <w:r>
        <w:rPr>
          <w:rFonts w:ascii="David" w:hAnsi="David" w:cs="David"/>
          <w:color w:val="000000"/>
          <w:sz w:val="18"/>
          <w:szCs w:val="18"/>
          <w:rtl/>
        </w:rPr>
        <w:t>. עי' רמב"ם שם, וכעי"ז בפ"י ה"ה. ועי' דעת יוסף שם. והיינו שכיון שכשר לפרה, אף אין חשוב מקומו טמא לענין פרה. וע"ע הנ"ל ציון 355, שי"ס בד' תנאים, שהוא פסול, וציון 358, שי"ס שהוא פסול מדרבנן, ומ' שהוא אף לקידוש. על טבו"י של זב, ושל בועל נדה, ע"ע הנ"ל ציון 363 ואילך.</w:t>
      </w:r>
    </w:p>
  </w:footnote>
  <w:footnote w:id="607">
    <w:p w14:paraId="082308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607</w:t>
      </w:r>
      <w:r>
        <w:rPr>
          <w:rFonts w:ascii="David" w:hAnsi="David" w:cs="David"/>
          <w:sz w:val="24"/>
          <w:szCs w:val="24"/>
          <w:rtl/>
        </w:rPr>
        <w:t xml:space="preserve"> </w:t>
      </w:r>
      <w:r>
        <w:rPr>
          <w:rFonts w:ascii="David" w:hAnsi="David" w:cs="David"/>
          <w:color w:val="000000"/>
          <w:sz w:val="18"/>
          <w:szCs w:val="18"/>
          <w:rtl/>
        </w:rPr>
        <w:t>. ציון 334 ואילך.</w:t>
      </w:r>
    </w:p>
  </w:footnote>
  <w:footnote w:id="608">
    <w:p w14:paraId="42FEC2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608</w:t>
      </w:r>
      <w:r>
        <w:rPr>
          <w:rFonts w:ascii="David" w:hAnsi="David" w:cs="David"/>
          <w:sz w:val="24"/>
          <w:szCs w:val="24"/>
          <w:rtl/>
        </w:rPr>
        <w:t xml:space="preserve"> </w:t>
      </w:r>
      <w:r>
        <w:rPr>
          <w:rFonts w:ascii="David" w:hAnsi="David" w:cs="David"/>
          <w:color w:val="000000"/>
          <w:sz w:val="18"/>
          <w:szCs w:val="18"/>
          <w:rtl/>
        </w:rPr>
        <w:t>. ציון 277 ואילך.</w:t>
      </w:r>
    </w:p>
  </w:footnote>
  <w:footnote w:id="609">
    <w:p w14:paraId="428AD5F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609</w:t>
      </w:r>
      <w:r>
        <w:rPr>
          <w:rFonts w:ascii="David" w:hAnsi="David" w:cs="David"/>
          <w:sz w:val="24"/>
          <w:szCs w:val="24"/>
          <w:rtl/>
        </w:rPr>
        <w:t xml:space="preserve"> </w:t>
      </w:r>
      <w:r>
        <w:rPr>
          <w:rFonts w:ascii="David" w:hAnsi="David" w:cs="David"/>
          <w:color w:val="000000"/>
          <w:sz w:val="18"/>
          <w:szCs w:val="18"/>
          <w:rtl/>
        </w:rPr>
        <w:t>. ציון 1041. ועי' ציון 1048 שי"ח. וע"ע מעלות וע' פרה אדומה, על מי שנטמאו ידיו.</w:t>
      </w:r>
    </w:p>
  </w:footnote>
  <w:footnote w:id="610">
    <w:p w14:paraId="633F938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610</w:t>
      </w:r>
      <w:r>
        <w:rPr>
          <w:rFonts w:ascii="David" w:hAnsi="David" w:cs="David"/>
          <w:sz w:val="24"/>
          <w:szCs w:val="24"/>
          <w:rtl/>
        </w:rPr>
        <w:t xml:space="preserve"> </w:t>
      </w:r>
      <w:r>
        <w:rPr>
          <w:rFonts w:ascii="David" w:hAnsi="David" w:cs="David"/>
          <w:color w:val="000000"/>
          <w:sz w:val="18"/>
          <w:szCs w:val="18"/>
          <w:rtl/>
        </w:rPr>
        <w:t>. ע"ע טומטום ציון 24 ואילך. ועי' לעיל ציון 557, שיש פוסלים אשה, ולדבריהם טומטום פסול אף משום שהוא ספק אשה.</w:t>
      </w:r>
    </w:p>
  </w:footnote>
  <w:footnote w:id="611">
    <w:p w14:paraId="190BE60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611</w:t>
      </w:r>
      <w:r>
        <w:rPr>
          <w:rFonts w:ascii="David" w:hAnsi="David" w:cs="David"/>
          <w:sz w:val="24"/>
          <w:szCs w:val="24"/>
          <w:rtl/>
        </w:rPr>
        <w:t xml:space="preserve"> </w:t>
      </w:r>
      <w:r>
        <w:rPr>
          <w:rFonts w:ascii="David" w:hAnsi="David" w:cs="David"/>
          <w:color w:val="000000"/>
          <w:sz w:val="18"/>
          <w:szCs w:val="18"/>
          <w:rtl/>
        </w:rPr>
        <w:t>. תוספתא פרה פ"ה, הובאה ביבמות עב ב. ועי' תוס' יומא מג א ד"ה הכל (הב'), שכ"ה ד' התנא בפרה פ"ה מ"ד (והובא בתוי"ט שם ובתפא"י שם אות כט, ועי' משנ"א שם), ועי' תוי"ט שם פי"ב מ"י, ועי' להלן.</w:t>
      </w:r>
    </w:p>
  </w:footnote>
  <w:footnote w:id="612">
    <w:p w14:paraId="788587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612</w:t>
      </w:r>
      <w:r>
        <w:rPr>
          <w:rFonts w:ascii="David" w:hAnsi="David" w:cs="David"/>
          <w:sz w:val="24"/>
          <w:szCs w:val="24"/>
          <w:rtl/>
        </w:rPr>
        <w:t xml:space="preserve"> </w:t>
      </w:r>
      <w:r>
        <w:rPr>
          <w:rFonts w:ascii="David" w:hAnsi="David" w:cs="David"/>
          <w:color w:val="000000"/>
          <w:sz w:val="18"/>
          <w:szCs w:val="18"/>
          <w:rtl/>
        </w:rPr>
        <w:t>. ע"ע ערל, ושם על גדר הדין, והטעם שחשוב כטמא אף לענין מי חטאת. וע"ש אם למסקנא הוא כטמא לכל דבר לר"ע, ושאף טומטום שהוא ספק ערל, חשוב ספק טמא, ואף שא"צ לקרוע ולמול.</w:t>
      </w:r>
    </w:p>
  </w:footnote>
  <w:footnote w:id="613">
    <w:p w14:paraId="35ACCA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613</w:t>
      </w:r>
      <w:r>
        <w:rPr>
          <w:rFonts w:ascii="David" w:hAnsi="David" w:cs="David"/>
          <w:sz w:val="24"/>
          <w:szCs w:val="24"/>
          <w:rtl/>
        </w:rPr>
        <w:t xml:space="preserve"> </w:t>
      </w:r>
      <w:r>
        <w:rPr>
          <w:rFonts w:ascii="David" w:hAnsi="David" w:cs="David"/>
          <w:color w:val="000000"/>
          <w:sz w:val="18"/>
          <w:szCs w:val="18"/>
          <w:rtl/>
        </w:rPr>
        <w:t>. ע"ע הנ"ל.</w:t>
      </w:r>
    </w:p>
  </w:footnote>
  <w:footnote w:id="614">
    <w:p w14:paraId="40DD26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614</w:t>
      </w:r>
      <w:r>
        <w:rPr>
          <w:rFonts w:ascii="David" w:hAnsi="David" w:cs="David"/>
          <w:sz w:val="24"/>
          <w:szCs w:val="24"/>
          <w:rtl/>
        </w:rPr>
        <w:t xml:space="preserve"> </w:t>
      </w:r>
      <w:r>
        <w:rPr>
          <w:rFonts w:ascii="David" w:hAnsi="David" w:cs="David"/>
          <w:color w:val="000000"/>
          <w:sz w:val="18"/>
          <w:szCs w:val="18"/>
          <w:rtl/>
        </w:rPr>
        <w:t>. עי' לעיל. עי' יבמות עב ב, ושם עד א ורש"י שם ד"ה תנא, ועי' מהרש"א וקר"א שם. ועי' קר"א שם, שצריך ללמוד ערל מטבו"י, משום שבערלה יש סרך טומאה. וע"ע הזאה (ב) ציון 434, שהלימוד מטבו"י לערל הוא מק"ו. ועי' ציון הבא. ועי' תוי"ט פרה שם, שהרמב"ם שלא הביא שכשר, סמך על דבריו לענין הזאה, והוכיח שאין לחלק בין קידוש להזאה (וכ"כ תפא"י שם אות פג), וע"ש שדן בטעם שפסק כן, ומ' קצת שהוא לסוברים שיש פוסלים אף אם אינו כטמא, עי' ציון הבא, ועי' חזו"נ שם. וע"ע הנ"ל ציון 437 ואילך, שי"ס שלא הכשירו ערל להזאה, אלא כשמתו אחיו מחמת מילה, ושם ציון 431, שמומר פסול להזאה, וצ"ב אם ה"ה לקידוש.</w:t>
      </w:r>
    </w:p>
  </w:footnote>
  <w:footnote w:id="615">
    <w:p w14:paraId="7F1A39C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615</w:t>
      </w:r>
      <w:r>
        <w:rPr>
          <w:rFonts w:ascii="David" w:hAnsi="David" w:cs="David"/>
          <w:sz w:val="24"/>
          <w:szCs w:val="24"/>
          <w:rtl/>
        </w:rPr>
        <w:t xml:space="preserve"> </w:t>
      </w:r>
      <w:r>
        <w:rPr>
          <w:rFonts w:ascii="David" w:hAnsi="David" w:cs="David"/>
          <w:color w:val="000000"/>
          <w:sz w:val="18"/>
          <w:szCs w:val="18"/>
          <w:rtl/>
        </w:rPr>
        <w:t>. עי' רש"י יבמות עב ב ד"ה לא לישתמיט, בד' רבא שם. ועי' קר"א שם עב סוע"ב, שרבא אינו חולק כלל, אלא הק' על רב יוסף.</w:t>
      </w:r>
    </w:p>
  </w:footnote>
  <w:footnote w:id="616">
    <w:p w14:paraId="2C28C77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616</w:t>
      </w:r>
      <w:r>
        <w:rPr>
          <w:rFonts w:ascii="David" w:hAnsi="David" w:cs="David"/>
          <w:sz w:val="24"/>
          <w:szCs w:val="24"/>
          <w:rtl/>
        </w:rPr>
        <w:t xml:space="preserve"> </w:t>
      </w:r>
      <w:r>
        <w:rPr>
          <w:rFonts w:ascii="David" w:hAnsi="David" w:cs="David"/>
          <w:color w:val="000000"/>
          <w:sz w:val="18"/>
          <w:szCs w:val="18"/>
          <w:rtl/>
        </w:rPr>
        <w:t>. מצא חן שם; ערל"נ שם עד א. ועי' ישרש יעקב שם, שהוא חולק שדוקא לסוברים שהוא כטמא, החמירו בו.</w:t>
      </w:r>
    </w:p>
  </w:footnote>
  <w:footnote w:id="617">
    <w:p w14:paraId="3377FC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617</w:t>
      </w:r>
      <w:r>
        <w:rPr>
          <w:rFonts w:ascii="David" w:hAnsi="David" w:cs="David"/>
          <w:sz w:val="24"/>
          <w:szCs w:val="24"/>
          <w:rtl/>
        </w:rPr>
        <w:t xml:space="preserve"> </w:t>
      </w:r>
      <w:r>
        <w:rPr>
          <w:rFonts w:ascii="David" w:hAnsi="David" w:cs="David"/>
          <w:color w:val="000000"/>
          <w:sz w:val="18"/>
          <w:szCs w:val="18"/>
          <w:rtl/>
        </w:rPr>
        <w:t>. פרה פ"ח מ"ב; רמב"ם פרה פי"ג ה"ג. ועי' ציונים 594, 1044 ואילך. ועי' ראב"ד שם, שהק' למה אסרו דוקא למקדש ודוקא מנעל ולא שאר בגדים, ע"ש פירושו, ועי' רא"ש שם, שלא גזרו בשאר בגדים, משום שא"א, ועי' כס"מ שם, שכיון שהוא מעלה בעלמא, לא הטריחוהו לפשוט בגדיו, ולכן לא הקפידו אלא על המקדש, ובשם ר"י קורקוס הביא שהקפידו על המקדש, וכ"ש על המזה, וכעי"ז בתפא"י שם אות ט, ושם שהקפידו על מנעל של עור קשה, וכ"ש על שאר מינים, ועי' חי' הגר"א שם, שחששו במנעל ששכיח שיפלו עליו משקים, ושם בטעם שלא הקפידו אלא על המקדש, ועי' מרכה"מ ומשנ"א שם.</w:t>
      </w:r>
    </w:p>
  </w:footnote>
  <w:footnote w:id="618">
    <w:p w14:paraId="1D24CB9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618</w:t>
      </w:r>
      <w:r>
        <w:rPr>
          <w:rFonts w:ascii="David" w:hAnsi="David" w:cs="David"/>
          <w:sz w:val="24"/>
          <w:szCs w:val="24"/>
          <w:rtl/>
        </w:rPr>
        <w:t xml:space="preserve"> </w:t>
      </w:r>
      <w:r>
        <w:rPr>
          <w:rFonts w:ascii="David" w:hAnsi="David" w:cs="David"/>
          <w:color w:val="000000"/>
          <w:sz w:val="18"/>
          <w:szCs w:val="18"/>
          <w:rtl/>
        </w:rPr>
        <w:t>. תפא"י שם בועז אות א. אבל מ' שם, שתלוי במח' ראשונים, מה החשש בנעילת סנדל, ע"ע מעלות.</w:t>
      </w:r>
    </w:p>
  </w:footnote>
  <w:footnote w:id="619">
    <w:p w14:paraId="27A344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619</w:t>
      </w:r>
      <w:r>
        <w:rPr>
          <w:rFonts w:ascii="David" w:hAnsi="David" w:cs="David"/>
          <w:sz w:val="24"/>
          <w:szCs w:val="24"/>
          <w:rtl/>
        </w:rPr>
        <w:t xml:space="preserve"> </w:t>
      </w:r>
      <w:r>
        <w:rPr>
          <w:rFonts w:ascii="David" w:hAnsi="David" w:cs="David"/>
          <w:color w:val="000000"/>
          <w:sz w:val="18"/>
          <w:szCs w:val="18"/>
          <w:rtl/>
        </w:rPr>
        <w:t>. עי' משנה תמורה יב א, לגי' שלפנינו, וכן הכריע בהג' הגר"א: אין מי חטאת עושין מי חטאת, וגר"א שם בביאורה, ועי' ציון 417, שי"ג בע"א, ועי' גמ' שם ב, שהמשנה אינה כר"ש שבציון 405, ועי' להלן; עי' להלן.</w:t>
      </w:r>
    </w:p>
  </w:footnote>
  <w:footnote w:id="620">
    <w:p w14:paraId="3D92A0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620</w:t>
      </w:r>
      <w:r>
        <w:rPr>
          <w:rFonts w:ascii="David" w:hAnsi="David" w:cs="David"/>
          <w:sz w:val="24"/>
          <w:szCs w:val="24"/>
          <w:rtl/>
        </w:rPr>
        <w:t xml:space="preserve"> </w:t>
      </w:r>
      <w:r>
        <w:rPr>
          <w:rFonts w:ascii="David" w:hAnsi="David" w:cs="David"/>
          <w:color w:val="000000"/>
          <w:sz w:val="18"/>
          <w:szCs w:val="18"/>
          <w:rtl/>
        </w:rPr>
        <w:t>. ציון 724 ואילך.</w:t>
      </w:r>
    </w:p>
  </w:footnote>
  <w:footnote w:id="621">
    <w:p w14:paraId="3D187B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621</w:t>
      </w:r>
      <w:r>
        <w:rPr>
          <w:rFonts w:ascii="David" w:hAnsi="David" w:cs="David"/>
          <w:sz w:val="24"/>
          <w:szCs w:val="24"/>
          <w:rtl/>
        </w:rPr>
        <w:t xml:space="preserve"> </w:t>
      </w:r>
      <w:r>
        <w:rPr>
          <w:rFonts w:ascii="David" w:hAnsi="David" w:cs="David"/>
          <w:color w:val="000000"/>
          <w:sz w:val="18"/>
          <w:szCs w:val="18"/>
          <w:rtl/>
        </w:rPr>
        <w:t>. חי' הגרי"ז מנחות ז ב, ועי' ציון 438, שאף כשנתערבו במים בלא קידוש, צידד ששוב אינם מקדשים, ועי' ציון 659 ואילך; דעת יוסף פרה פ"ו מ"ב.</w:t>
      </w:r>
    </w:p>
  </w:footnote>
  <w:footnote w:id="622">
    <w:p w14:paraId="6F44CA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622</w:t>
      </w:r>
      <w:r>
        <w:rPr>
          <w:rFonts w:ascii="David" w:hAnsi="David" w:cs="David"/>
          <w:sz w:val="24"/>
          <w:szCs w:val="24"/>
          <w:rtl/>
        </w:rPr>
        <w:t xml:space="preserve"> </w:t>
      </w:r>
      <w:r>
        <w:rPr>
          <w:rFonts w:ascii="David" w:hAnsi="David" w:cs="David"/>
          <w:color w:val="000000"/>
          <w:sz w:val="18"/>
          <w:szCs w:val="18"/>
          <w:rtl/>
        </w:rPr>
        <w:t>. בהגר"א וזר זהב לתוספ' פרה פ"ו; חי' הגרי"ז שם; דעת יוסף שם. ועי' חס"ד לתוספתא שם, טעם אחר, שכיון שכבר עשה האפר מצותו לקדש המים הראשונים, פסק כוחו מלקדש מים אחרים, וצ"ב, שהרי י"ס שחוזר ומקדש באפר, עי' ציון 652 ואילך, ושמא כוונתו שבשעה שמעורב במים לד"ה חשוב שנעשית מצותו, וצ"ב, או שכ' הטעם להלכה שאין חוזר ומקדש באפר.</w:t>
      </w:r>
    </w:p>
  </w:footnote>
  <w:footnote w:id="623">
    <w:p w14:paraId="3D0989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623</w:t>
      </w:r>
      <w:r>
        <w:rPr>
          <w:rFonts w:ascii="David" w:hAnsi="David" w:cs="David"/>
          <w:sz w:val="24"/>
          <w:szCs w:val="24"/>
          <w:rtl/>
        </w:rPr>
        <w:t xml:space="preserve"> </w:t>
      </w:r>
      <w:r>
        <w:rPr>
          <w:rFonts w:ascii="David" w:hAnsi="David" w:cs="David"/>
          <w:color w:val="000000"/>
          <w:sz w:val="18"/>
          <w:szCs w:val="18"/>
          <w:rtl/>
        </w:rPr>
        <w:t>. עי' משנה וראשונים שבציון 760, ועי' משנ"א פרה פ"ה מ"ב.</w:t>
      </w:r>
    </w:p>
  </w:footnote>
  <w:footnote w:id="624">
    <w:p w14:paraId="31F1C5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624</w:t>
      </w:r>
      <w:r>
        <w:rPr>
          <w:rFonts w:ascii="David" w:hAnsi="David" w:cs="David"/>
          <w:sz w:val="24"/>
          <w:szCs w:val="24"/>
          <w:rtl/>
        </w:rPr>
        <w:t xml:space="preserve"> </w:t>
      </w:r>
      <w:r>
        <w:rPr>
          <w:rFonts w:ascii="David" w:hAnsi="David" w:cs="David"/>
          <w:color w:val="000000"/>
          <w:sz w:val="18"/>
          <w:szCs w:val="18"/>
          <w:rtl/>
        </w:rPr>
        <w:t>. עי' ציון 405.</w:t>
      </w:r>
    </w:p>
  </w:footnote>
  <w:footnote w:id="625">
    <w:p w14:paraId="2320415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625</w:t>
      </w:r>
      <w:r>
        <w:rPr>
          <w:rFonts w:ascii="David" w:hAnsi="David" w:cs="David"/>
          <w:sz w:val="24"/>
          <w:szCs w:val="24"/>
          <w:rtl/>
        </w:rPr>
        <w:t xml:space="preserve"> </w:t>
      </w:r>
      <w:r>
        <w:rPr>
          <w:rFonts w:ascii="David" w:hAnsi="David" w:cs="David"/>
          <w:color w:val="000000"/>
          <w:sz w:val="18"/>
          <w:szCs w:val="18"/>
          <w:rtl/>
        </w:rPr>
        <w:t>. עי' תוספתא שם. על כך שמועיל קידוש שני, עי' ציון 754 ואילך.</w:t>
      </w:r>
    </w:p>
  </w:footnote>
  <w:footnote w:id="626">
    <w:p w14:paraId="277839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626</w:t>
      </w:r>
      <w:r>
        <w:rPr>
          <w:rFonts w:ascii="David" w:hAnsi="David" w:cs="David"/>
          <w:sz w:val="24"/>
          <w:szCs w:val="24"/>
          <w:rtl/>
        </w:rPr>
        <w:t xml:space="preserve"> </w:t>
      </w:r>
      <w:r>
        <w:rPr>
          <w:rFonts w:ascii="David" w:hAnsi="David" w:cs="David"/>
          <w:color w:val="000000"/>
          <w:sz w:val="18"/>
          <w:szCs w:val="18"/>
          <w:rtl/>
        </w:rPr>
        <w:t>. בהגר"א שם; חזו"א פרה סי' יא ס"ק יב.</w:t>
      </w:r>
    </w:p>
  </w:footnote>
  <w:footnote w:id="627">
    <w:p w14:paraId="4A4367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627</w:t>
      </w:r>
      <w:r>
        <w:rPr>
          <w:rFonts w:ascii="David" w:hAnsi="David" w:cs="David"/>
          <w:sz w:val="24"/>
          <w:szCs w:val="24"/>
          <w:rtl/>
        </w:rPr>
        <w:t xml:space="preserve"> </w:t>
      </w:r>
      <w:r>
        <w:rPr>
          <w:rFonts w:ascii="David" w:hAnsi="David" w:cs="David"/>
          <w:color w:val="000000"/>
          <w:sz w:val="18"/>
          <w:szCs w:val="18"/>
          <w:rtl/>
        </w:rPr>
        <w:t>. עי' ציון 654. ועי' ציון 637, שלד' חכמים האפר פסול לקידוש.</w:t>
      </w:r>
    </w:p>
  </w:footnote>
  <w:footnote w:id="628">
    <w:p w14:paraId="16EC3E5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628</w:t>
      </w:r>
      <w:r>
        <w:rPr>
          <w:rFonts w:ascii="David" w:hAnsi="David" w:cs="David"/>
          <w:sz w:val="24"/>
          <w:szCs w:val="24"/>
          <w:rtl/>
        </w:rPr>
        <w:t xml:space="preserve"> </w:t>
      </w:r>
      <w:r>
        <w:rPr>
          <w:rFonts w:ascii="David" w:hAnsi="David" w:cs="David"/>
          <w:color w:val="000000"/>
          <w:sz w:val="18"/>
          <w:szCs w:val="18"/>
          <w:rtl/>
        </w:rPr>
        <w:t>. עי' ציון 656.</w:t>
      </w:r>
    </w:p>
  </w:footnote>
  <w:footnote w:id="629">
    <w:p w14:paraId="001FA2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629</w:t>
      </w:r>
      <w:r>
        <w:rPr>
          <w:rFonts w:ascii="David" w:hAnsi="David" w:cs="David"/>
          <w:sz w:val="24"/>
          <w:szCs w:val="24"/>
          <w:rtl/>
        </w:rPr>
        <w:t xml:space="preserve"> </w:t>
      </w:r>
      <w:r>
        <w:rPr>
          <w:rFonts w:ascii="David" w:hAnsi="David" w:cs="David"/>
          <w:color w:val="000000"/>
          <w:sz w:val="18"/>
          <w:szCs w:val="18"/>
          <w:rtl/>
        </w:rPr>
        <w:t>. חזו"א שם; חי' הגרי"ז שם. ועי' להלן. ועי' ציון 658, שי"מ בע"א.</w:t>
      </w:r>
    </w:p>
  </w:footnote>
  <w:footnote w:id="630">
    <w:p w14:paraId="58B003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630</w:t>
      </w:r>
      <w:r>
        <w:rPr>
          <w:rFonts w:ascii="David" w:hAnsi="David" w:cs="David"/>
          <w:sz w:val="24"/>
          <w:szCs w:val="24"/>
          <w:rtl/>
        </w:rPr>
        <w:t xml:space="preserve"> </w:t>
      </w:r>
      <w:r>
        <w:rPr>
          <w:rFonts w:ascii="David" w:hAnsi="David" w:cs="David"/>
          <w:color w:val="000000"/>
          <w:sz w:val="18"/>
          <w:szCs w:val="18"/>
          <w:rtl/>
        </w:rPr>
        <w:t>. חזו"א דלהלן. ועי' ציון 442.</w:t>
      </w:r>
    </w:p>
  </w:footnote>
  <w:footnote w:id="631">
    <w:p w14:paraId="737721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631</w:t>
      </w:r>
      <w:r>
        <w:rPr>
          <w:rFonts w:ascii="David" w:hAnsi="David" w:cs="David"/>
          <w:sz w:val="24"/>
          <w:szCs w:val="24"/>
          <w:rtl/>
        </w:rPr>
        <w:t xml:space="preserve"> </w:t>
      </w:r>
      <w:r>
        <w:rPr>
          <w:rFonts w:ascii="David" w:hAnsi="David" w:cs="David"/>
          <w:color w:val="000000"/>
          <w:sz w:val="18"/>
          <w:szCs w:val="18"/>
          <w:rtl/>
        </w:rPr>
        <w:t>. חזו"א שם.</w:t>
      </w:r>
    </w:p>
  </w:footnote>
  <w:footnote w:id="632">
    <w:p w14:paraId="3C4B3F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632</w:t>
      </w:r>
      <w:r>
        <w:rPr>
          <w:rFonts w:ascii="David" w:hAnsi="David" w:cs="David"/>
          <w:sz w:val="24"/>
          <w:szCs w:val="24"/>
          <w:rtl/>
        </w:rPr>
        <w:t xml:space="preserve"> </w:t>
      </w:r>
      <w:r>
        <w:rPr>
          <w:rFonts w:ascii="David" w:hAnsi="David" w:cs="David"/>
          <w:color w:val="000000"/>
          <w:sz w:val="18"/>
          <w:szCs w:val="18"/>
          <w:rtl/>
        </w:rPr>
        <w:t>. חי' הגרי"ז סוטה טז ב ד"ה ועיין, בביאור תוספ' שם. וכן צידד בחזו"א שם, והק' מציון 629, ותי' ששם קידש מתחילה באפר ע"ג מים, וע"ש תי' נוסף, וע"ש שצידד להוכיח כן מתמורה שם, שאמרו שהמשנה אינה כר"ש, ודחה, ועי' שו"ת דברי מלכיאל ח"ה סי' ל.</w:t>
      </w:r>
    </w:p>
  </w:footnote>
  <w:footnote w:id="633">
    <w:p w14:paraId="2DC73C1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633</w:t>
      </w:r>
      <w:r>
        <w:rPr>
          <w:rFonts w:ascii="David" w:hAnsi="David" w:cs="David"/>
          <w:sz w:val="24"/>
          <w:szCs w:val="24"/>
          <w:rtl/>
        </w:rPr>
        <w:t xml:space="preserve"> </w:t>
      </w:r>
      <w:r>
        <w:rPr>
          <w:rFonts w:ascii="David" w:hAnsi="David" w:cs="David"/>
          <w:color w:val="000000"/>
          <w:sz w:val="18"/>
          <w:szCs w:val="18"/>
          <w:rtl/>
        </w:rPr>
        <w:t>. חי' הגרי"ז שם ד"ה ובר"ש, ולפ"ז לכאו' אפשר לקדש מים ע"י שפיכת מי חטאת שנתקדשו באפר על המים. ועי' ציון 438.</w:t>
      </w:r>
    </w:p>
  </w:footnote>
  <w:footnote w:id="634">
    <w:p w14:paraId="4F5837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634</w:t>
      </w:r>
      <w:r>
        <w:rPr>
          <w:rFonts w:ascii="David" w:hAnsi="David" w:cs="David"/>
          <w:sz w:val="24"/>
          <w:szCs w:val="24"/>
          <w:rtl/>
        </w:rPr>
        <w:t xml:space="preserve"> </w:t>
      </w:r>
      <w:r>
        <w:rPr>
          <w:rFonts w:ascii="David" w:hAnsi="David" w:cs="David"/>
          <w:color w:val="000000"/>
          <w:sz w:val="18"/>
          <w:szCs w:val="18"/>
          <w:rtl/>
        </w:rPr>
        <w:t>. עי' להלן.</w:t>
      </w:r>
    </w:p>
  </w:footnote>
  <w:footnote w:id="635">
    <w:p w14:paraId="065B2B6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635</w:t>
      </w:r>
      <w:r>
        <w:rPr>
          <w:rFonts w:ascii="David" w:hAnsi="David" w:cs="David"/>
          <w:sz w:val="24"/>
          <w:szCs w:val="24"/>
          <w:rtl/>
        </w:rPr>
        <w:t xml:space="preserve"> </w:t>
      </w:r>
      <w:r>
        <w:rPr>
          <w:rFonts w:ascii="David" w:hAnsi="David" w:cs="David"/>
          <w:color w:val="000000"/>
          <w:sz w:val="18"/>
          <w:szCs w:val="18"/>
          <w:rtl/>
        </w:rPr>
        <w:t>. עי' פהמ"ש לרמב"ם פרה פ"ו מ"ב ותפא"י שם אות טו, וע"ש אות יח.</w:t>
      </w:r>
    </w:p>
  </w:footnote>
  <w:footnote w:id="636">
    <w:p w14:paraId="729DCB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636</w:t>
      </w:r>
      <w:r>
        <w:rPr>
          <w:rFonts w:ascii="David" w:hAnsi="David" w:cs="David"/>
          <w:sz w:val="24"/>
          <w:szCs w:val="24"/>
          <w:rtl/>
        </w:rPr>
        <w:t xml:space="preserve"> </w:t>
      </w:r>
      <w:r>
        <w:rPr>
          <w:rFonts w:ascii="David" w:hAnsi="David" w:cs="David"/>
          <w:color w:val="000000"/>
          <w:sz w:val="18"/>
          <w:szCs w:val="18"/>
          <w:rtl/>
        </w:rPr>
        <w:t>. ר"ש שם.</w:t>
      </w:r>
    </w:p>
  </w:footnote>
  <w:footnote w:id="637">
    <w:p w14:paraId="2AA0D4E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637</w:t>
      </w:r>
      <w:r>
        <w:rPr>
          <w:rFonts w:ascii="David" w:hAnsi="David" w:cs="David"/>
          <w:sz w:val="24"/>
          <w:szCs w:val="24"/>
          <w:rtl/>
        </w:rPr>
        <w:t xml:space="preserve"> </w:t>
      </w:r>
      <w:r>
        <w:rPr>
          <w:rFonts w:ascii="David" w:hAnsi="David" w:cs="David"/>
          <w:color w:val="000000"/>
          <w:sz w:val="18"/>
          <w:szCs w:val="18"/>
          <w:rtl/>
        </w:rPr>
        <w:t>. משנה שם. ועי' ציון 673.</w:t>
      </w:r>
    </w:p>
  </w:footnote>
  <w:footnote w:id="638">
    <w:p w14:paraId="7713D8B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638</w:t>
      </w:r>
      <w:r>
        <w:rPr>
          <w:rFonts w:ascii="David" w:hAnsi="David" w:cs="David"/>
          <w:sz w:val="24"/>
          <w:szCs w:val="24"/>
          <w:rtl/>
        </w:rPr>
        <w:t xml:space="preserve"> </w:t>
      </w:r>
      <w:r>
        <w:rPr>
          <w:rFonts w:ascii="David" w:hAnsi="David" w:cs="David"/>
          <w:color w:val="000000"/>
          <w:sz w:val="18"/>
          <w:szCs w:val="18"/>
          <w:rtl/>
        </w:rPr>
        <w:t>. עי' ציון 514. עי' ל' משנה שם; עי' להלן שלא דנו אלא באפר היבש; עי' אחרונים שבציון 666.</w:t>
      </w:r>
    </w:p>
  </w:footnote>
  <w:footnote w:id="639">
    <w:p w14:paraId="4F6DAC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639</w:t>
      </w:r>
      <w:r>
        <w:rPr>
          <w:rFonts w:ascii="David" w:hAnsi="David" w:cs="David"/>
          <w:sz w:val="24"/>
          <w:szCs w:val="24"/>
          <w:rtl/>
        </w:rPr>
        <w:t xml:space="preserve"> </w:t>
      </w:r>
      <w:r>
        <w:rPr>
          <w:rFonts w:ascii="David" w:hAnsi="David" w:cs="David"/>
          <w:color w:val="000000"/>
          <w:sz w:val="18"/>
          <w:szCs w:val="18"/>
          <w:rtl/>
        </w:rPr>
        <w:t>. רמב"ם פרה פ"ט ה"ג, ובפהמ"ש שם; עי' רע"ב שם; תפא"י שם אות יח. ועי' ציון 656, שבלא ניגוב אף לר"מ ור"ש אין מקדש בו, ושם שי"ח.</w:t>
      </w:r>
    </w:p>
  </w:footnote>
  <w:footnote w:id="640">
    <w:p w14:paraId="3D81E0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640</w:t>
      </w:r>
      <w:r>
        <w:rPr>
          <w:rFonts w:ascii="David" w:hAnsi="David" w:cs="David"/>
          <w:sz w:val="24"/>
          <w:szCs w:val="24"/>
          <w:rtl/>
        </w:rPr>
        <w:t xml:space="preserve"> </w:t>
      </w:r>
      <w:r>
        <w:rPr>
          <w:rFonts w:ascii="David" w:hAnsi="David" w:cs="David"/>
          <w:color w:val="000000"/>
          <w:sz w:val="18"/>
          <w:szCs w:val="18"/>
          <w:rtl/>
        </w:rPr>
        <w:t>. עי' תוספתא שם פ"ו: נתן את האפר ראהו שהוא מרובה וכו', ובהגר"א שם; עי' רמב"ם שם, ומשנ"א שם, ועי' רמב"ם שם פ"ח ה"ח, ודעת יוסף שם; תפא"י שם אות כ.</w:t>
      </w:r>
    </w:p>
  </w:footnote>
  <w:footnote w:id="641">
    <w:p w14:paraId="3A853CE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641</w:t>
      </w:r>
      <w:r>
        <w:rPr>
          <w:rFonts w:ascii="David" w:hAnsi="David" w:cs="David"/>
          <w:sz w:val="24"/>
          <w:szCs w:val="24"/>
          <w:rtl/>
        </w:rPr>
        <w:t xml:space="preserve"> </w:t>
      </w:r>
      <w:r>
        <w:rPr>
          <w:rFonts w:ascii="David" w:hAnsi="David" w:cs="David"/>
          <w:color w:val="000000"/>
          <w:sz w:val="18"/>
          <w:szCs w:val="18"/>
          <w:rtl/>
        </w:rPr>
        <w:t>. חזו"א פרה סי' יא ס"ק יד.</w:t>
      </w:r>
    </w:p>
  </w:footnote>
  <w:footnote w:id="642">
    <w:p w14:paraId="247E96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642</w:t>
      </w:r>
      <w:r>
        <w:rPr>
          <w:rFonts w:ascii="David" w:hAnsi="David" w:cs="David"/>
          <w:sz w:val="24"/>
          <w:szCs w:val="24"/>
          <w:rtl/>
        </w:rPr>
        <w:t xml:space="preserve"> </w:t>
      </w:r>
      <w:r>
        <w:rPr>
          <w:rFonts w:ascii="David" w:hAnsi="David" w:cs="David"/>
          <w:color w:val="000000"/>
          <w:sz w:val="18"/>
          <w:szCs w:val="18"/>
          <w:rtl/>
        </w:rPr>
        <w:t>. עי' משנ"א שם; עי' דעת יוסף שם. ועי' משנ"א שם, שכ"מ ברישא של המשנה שם, שלא הזכירה ניגוב (ועי' ציון 656), ומ' שהיא עוסקת אף באפר שאינו נוגע במים, ומ"מ הוא בכלל הפסול לד' חכמים.</w:t>
      </w:r>
    </w:p>
  </w:footnote>
  <w:footnote w:id="643">
    <w:p w14:paraId="2770EB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643</w:t>
      </w:r>
      <w:r>
        <w:rPr>
          <w:rFonts w:ascii="David" w:hAnsi="David" w:cs="David"/>
          <w:sz w:val="24"/>
          <w:szCs w:val="24"/>
          <w:rtl/>
        </w:rPr>
        <w:t xml:space="preserve"> </w:t>
      </w:r>
      <w:r>
        <w:rPr>
          <w:rFonts w:ascii="David" w:hAnsi="David" w:cs="David"/>
          <w:color w:val="000000"/>
          <w:sz w:val="18"/>
          <w:szCs w:val="18"/>
          <w:rtl/>
        </w:rPr>
        <w:t>. דעת יוסף שם.</w:t>
      </w:r>
    </w:p>
  </w:footnote>
  <w:footnote w:id="644">
    <w:p w14:paraId="320B1C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644</w:t>
      </w:r>
      <w:r>
        <w:rPr>
          <w:rFonts w:ascii="David" w:hAnsi="David" w:cs="David"/>
          <w:sz w:val="24"/>
          <w:szCs w:val="24"/>
          <w:rtl/>
        </w:rPr>
        <w:t xml:space="preserve"> </w:t>
      </w:r>
      <w:r>
        <w:rPr>
          <w:rFonts w:ascii="David" w:hAnsi="David" w:cs="David"/>
          <w:color w:val="000000"/>
          <w:sz w:val="18"/>
          <w:szCs w:val="18"/>
          <w:rtl/>
        </w:rPr>
        <w:t>. עי' משנה שם, ומלאכ"ש וחזו"נ ובית דוד שם.</w:t>
      </w:r>
    </w:p>
  </w:footnote>
  <w:footnote w:id="645">
    <w:p w14:paraId="6F5DDF7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645</w:t>
      </w:r>
      <w:r>
        <w:rPr>
          <w:rFonts w:ascii="David" w:hAnsi="David" w:cs="David"/>
          <w:sz w:val="24"/>
          <w:szCs w:val="24"/>
          <w:rtl/>
        </w:rPr>
        <w:t xml:space="preserve"> </w:t>
      </w:r>
      <w:r>
        <w:rPr>
          <w:rFonts w:ascii="David" w:hAnsi="David" w:cs="David"/>
          <w:color w:val="000000"/>
          <w:sz w:val="18"/>
          <w:szCs w:val="18"/>
          <w:rtl/>
        </w:rPr>
        <w:t>. מלאכ"ש וחזו"נ שם.</w:t>
      </w:r>
    </w:p>
  </w:footnote>
  <w:footnote w:id="646">
    <w:p w14:paraId="7F5281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646</w:t>
      </w:r>
      <w:r>
        <w:rPr>
          <w:rFonts w:ascii="David" w:hAnsi="David" w:cs="David"/>
          <w:sz w:val="24"/>
          <w:szCs w:val="24"/>
          <w:rtl/>
        </w:rPr>
        <w:t xml:space="preserve"> </w:t>
      </w:r>
      <w:r>
        <w:rPr>
          <w:rFonts w:ascii="David" w:hAnsi="David" w:cs="David"/>
          <w:color w:val="000000"/>
          <w:sz w:val="18"/>
          <w:szCs w:val="18"/>
          <w:rtl/>
        </w:rPr>
        <w:t>. רמב"ם פ"ט שם (ועי' מלאכ"ש וחזו"נ שם) ופהמ"ש שם; רע"ב שם.</w:t>
      </w:r>
    </w:p>
  </w:footnote>
  <w:footnote w:id="647">
    <w:p w14:paraId="1B4541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647</w:t>
      </w:r>
      <w:r>
        <w:rPr>
          <w:rFonts w:ascii="David" w:hAnsi="David" w:cs="David"/>
          <w:sz w:val="24"/>
          <w:szCs w:val="24"/>
          <w:rtl/>
        </w:rPr>
        <w:t xml:space="preserve"> </w:t>
      </w:r>
      <w:r>
        <w:rPr>
          <w:rFonts w:ascii="David" w:hAnsi="David" w:cs="David"/>
          <w:color w:val="000000"/>
          <w:sz w:val="18"/>
          <w:szCs w:val="18"/>
          <w:rtl/>
        </w:rPr>
        <w:t>. עי' ציון 93. משנ"א שם; תפא"י שם אות יח. ועי' ציון הבא. ועי' ציונים 657, 660.</w:t>
      </w:r>
    </w:p>
  </w:footnote>
  <w:footnote w:id="648">
    <w:p w14:paraId="4AFB519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648</w:t>
      </w:r>
      <w:r>
        <w:rPr>
          <w:rFonts w:ascii="David" w:hAnsi="David" w:cs="David"/>
          <w:sz w:val="24"/>
          <w:szCs w:val="24"/>
          <w:rtl/>
        </w:rPr>
        <w:t xml:space="preserve"> </w:t>
      </w:r>
      <w:r>
        <w:rPr>
          <w:rFonts w:ascii="David" w:hAnsi="David" w:cs="David"/>
          <w:color w:val="000000"/>
          <w:sz w:val="18"/>
          <w:szCs w:val="18"/>
          <w:rtl/>
        </w:rPr>
        <w:t>. עי' ציון 619 ואילך. עי' ק"ס פרה פ"ט; חי' הגרי"ז מנחות ז ב; דעת יוסף שם, וע"ש שהזכיר אף ל' נעשית מצותו, (עי' ציון 667). ועי' ציון 658.</w:t>
      </w:r>
    </w:p>
  </w:footnote>
  <w:footnote w:id="649">
    <w:p w14:paraId="2675AC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649</w:t>
      </w:r>
      <w:r>
        <w:rPr>
          <w:rFonts w:ascii="David" w:hAnsi="David" w:cs="David"/>
          <w:sz w:val="24"/>
          <w:szCs w:val="24"/>
          <w:rtl/>
        </w:rPr>
        <w:t xml:space="preserve"> </w:t>
      </w:r>
      <w:r>
        <w:rPr>
          <w:rFonts w:ascii="David" w:hAnsi="David" w:cs="David"/>
          <w:color w:val="000000"/>
          <w:sz w:val="18"/>
          <w:szCs w:val="18"/>
          <w:rtl/>
        </w:rPr>
        <w:t>. במדבר יט יז.</w:t>
      </w:r>
    </w:p>
  </w:footnote>
  <w:footnote w:id="650">
    <w:p w14:paraId="0B702F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650</w:t>
      </w:r>
      <w:r>
        <w:rPr>
          <w:rFonts w:ascii="David" w:hAnsi="David" w:cs="David"/>
          <w:sz w:val="24"/>
          <w:szCs w:val="24"/>
          <w:rtl/>
        </w:rPr>
        <w:t xml:space="preserve"> </w:t>
      </w:r>
      <w:r>
        <w:rPr>
          <w:rFonts w:ascii="David" w:hAnsi="David" w:cs="David"/>
          <w:color w:val="000000"/>
          <w:sz w:val="18"/>
          <w:szCs w:val="18"/>
          <w:rtl/>
        </w:rPr>
        <w:t>. או"ש פרה פ"ט ה"ג. וע"ש שכעי"ז דרשו לענין כיסוי הדם, ע"ע כסוי הדם ציון 230 ואילך. ועי' להלן ציון 659.</w:t>
      </w:r>
    </w:p>
  </w:footnote>
  <w:footnote w:id="651">
    <w:p w14:paraId="69CC59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651</w:t>
      </w:r>
      <w:r>
        <w:rPr>
          <w:rFonts w:ascii="David" w:hAnsi="David" w:cs="David"/>
          <w:sz w:val="24"/>
          <w:szCs w:val="24"/>
          <w:rtl/>
        </w:rPr>
        <w:t xml:space="preserve"> </w:t>
      </w:r>
      <w:r>
        <w:rPr>
          <w:rFonts w:ascii="David" w:hAnsi="David" w:cs="David"/>
          <w:color w:val="000000"/>
          <w:sz w:val="18"/>
          <w:szCs w:val="18"/>
          <w:rtl/>
        </w:rPr>
        <w:t>. עי' להלן</w:t>
      </w:r>
    </w:p>
  </w:footnote>
  <w:footnote w:id="652">
    <w:p w14:paraId="5F9942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652</w:t>
      </w:r>
      <w:r>
        <w:rPr>
          <w:rFonts w:ascii="David" w:hAnsi="David" w:cs="David"/>
          <w:sz w:val="24"/>
          <w:szCs w:val="24"/>
          <w:rtl/>
        </w:rPr>
        <w:t xml:space="preserve"> </w:t>
      </w:r>
      <w:r>
        <w:rPr>
          <w:rFonts w:ascii="David" w:hAnsi="David" w:cs="David"/>
          <w:color w:val="000000"/>
          <w:sz w:val="18"/>
          <w:szCs w:val="18"/>
          <w:rtl/>
        </w:rPr>
        <w:t>. פרה שם; תוספתא שם.</w:t>
      </w:r>
    </w:p>
  </w:footnote>
  <w:footnote w:id="653">
    <w:p w14:paraId="1598FD9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653</w:t>
      </w:r>
      <w:r>
        <w:rPr>
          <w:rFonts w:ascii="David" w:hAnsi="David" w:cs="David"/>
          <w:sz w:val="24"/>
          <w:szCs w:val="24"/>
          <w:rtl/>
        </w:rPr>
        <w:t xml:space="preserve"> </w:t>
      </w:r>
      <w:r>
        <w:rPr>
          <w:rFonts w:ascii="David" w:hAnsi="David" w:cs="David"/>
          <w:color w:val="000000"/>
          <w:sz w:val="18"/>
          <w:szCs w:val="18"/>
          <w:rtl/>
        </w:rPr>
        <w:t>. ר"ש ורע"ב שם.</w:t>
      </w:r>
    </w:p>
  </w:footnote>
  <w:footnote w:id="654">
    <w:p w14:paraId="29467D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654</w:t>
      </w:r>
      <w:r>
        <w:rPr>
          <w:rFonts w:ascii="David" w:hAnsi="David" w:cs="David"/>
          <w:sz w:val="24"/>
          <w:szCs w:val="24"/>
          <w:rtl/>
        </w:rPr>
        <w:t xml:space="preserve"> </w:t>
      </w:r>
      <w:r>
        <w:rPr>
          <w:rFonts w:ascii="David" w:hAnsi="David" w:cs="David"/>
          <w:color w:val="000000"/>
          <w:sz w:val="18"/>
          <w:szCs w:val="18"/>
          <w:rtl/>
        </w:rPr>
        <w:t>. עי' משנה שם בסיפא: זלף את המים, ור"ש ורע"ב שם.</w:t>
      </w:r>
    </w:p>
  </w:footnote>
  <w:footnote w:id="655">
    <w:p w14:paraId="10468F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655</w:t>
      </w:r>
      <w:r>
        <w:rPr>
          <w:rFonts w:ascii="David" w:hAnsi="David" w:cs="David"/>
          <w:sz w:val="24"/>
          <w:szCs w:val="24"/>
          <w:rtl/>
        </w:rPr>
        <w:t xml:space="preserve"> </w:t>
      </w:r>
      <w:r>
        <w:rPr>
          <w:rFonts w:ascii="David" w:hAnsi="David" w:cs="David"/>
          <w:color w:val="000000"/>
          <w:sz w:val="18"/>
          <w:szCs w:val="18"/>
          <w:rtl/>
        </w:rPr>
        <w:t>. מלאכ"ש שם, ותפא"י שם אות כ, בטעם שהוצרכה המשנה לחזור ולשנות דין זה.</w:t>
      </w:r>
    </w:p>
  </w:footnote>
  <w:footnote w:id="656">
    <w:p w14:paraId="7DEB82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656</w:t>
      </w:r>
      <w:r>
        <w:rPr>
          <w:rFonts w:ascii="David" w:hAnsi="David" w:cs="David"/>
          <w:sz w:val="24"/>
          <w:szCs w:val="24"/>
          <w:rtl/>
        </w:rPr>
        <w:t xml:space="preserve"> </w:t>
      </w:r>
      <w:r>
        <w:rPr>
          <w:rFonts w:ascii="David" w:hAnsi="David" w:cs="David"/>
          <w:color w:val="000000"/>
          <w:sz w:val="18"/>
          <w:szCs w:val="18"/>
          <w:rtl/>
        </w:rPr>
        <w:t>. עי' משנה שם בסיפא: מנגב ומקדש, ורע"ב שם ותפא"י שם אות טז, שה"ה ברישא שבציון 652, שנגע חלקו במים, שצריך לנגב האפר, ועי' דעת יוסף שם, שצידד (לשיטתו שבציון 658) שבאופן זה א"צ לנגב אפי' את מה שנגע, מפני שהוא נגרר אחר האפר העליון שלא נגע, ועי' ציון 642. ועי' להלן.</w:t>
      </w:r>
    </w:p>
  </w:footnote>
  <w:footnote w:id="657">
    <w:p w14:paraId="4EFB38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657</w:t>
      </w:r>
      <w:r>
        <w:rPr>
          <w:rFonts w:ascii="David" w:hAnsi="David" w:cs="David"/>
          <w:sz w:val="24"/>
          <w:szCs w:val="24"/>
          <w:rtl/>
        </w:rPr>
        <w:t xml:space="preserve"> </w:t>
      </w:r>
      <w:r>
        <w:rPr>
          <w:rFonts w:ascii="David" w:hAnsi="David" w:cs="David"/>
          <w:color w:val="000000"/>
          <w:sz w:val="18"/>
          <w:szCs w:val="18"/>
          <w:rtl/>
        </w:rPr>
        <w:t>. משנ"א שם. ועי' ציון 647.</w:t>
      </w:r>
    </w:p>
  </w:footnote>
  <w:footnote w:id="658">
    <w:p w14:paraId="16B28C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658</w:t>
      </w:r>
      <w:r>
        <w:rPr>
          <w:rFonts w:ascii="David" w:hAnsi="David" w:cs="David"/>
          <w:sz w:val="24"/>
          <w:szCs w:val="24"/>
          <w:rtl/>
        </w:rPr>
        <w:t xml:space="preserve"> </w:t>
      </w:r>
      <w:r>
        <w:rPr>
          <w:rFonts w:ascii="David" w:hAnsi="David" w:cs="David"/>
          <w:color w:val="000000"/>
          <w:sz w:val="18"/>
          <w:szCs w:val="18"/>
          <w:rtl/>
        </w:rPr>
        <w:t>. עי' אחרונים שבציון 629; דעת יוסף שם. ועי' ציון 648. ועי' דעת יוסף שם טעם נוסף להצריך ניגוב, שהמים שבאפר נפסלו, (ע"ש הטעם, וצ"ב), ושוב פוסלים את שאר המים. ועי' תפא"י שם אות טז, טעם אחר שצריך לנגב, שאל"כ נמצא שכשיקדש מערב מים מקודשים שבתוכו עם מים אחרים, ולכאו' כוונתו שהמים המקודשים נפסלים בתערובת, עי' ציון 724, וחוזרים ופוסלים המים שאינם מקודשים, עי' ציון 709 ואילך, ועי' ציון 753. ועי' ציונים 671, 673, שי"ס שצריך לנגב משום חציצה. ועי' ציונים 660, 671, על דין דיחוי.</w:t>
      </w:r>
    </w:p>
  </w:footnote>
  <w:footnote w:id="659">
    <w:p w14:paraId="5AC2A9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659</w:t>
      </w:r>
      <w:r>
        <w:rPr>
          <w:rFonts w:ascii="David" w:hAnsi="David" w:cs="David"/>
          <w:sz w:val="24"/>
          <w:szCs w:val="24"/>
          <w:rtl/>
        </w:rPr>
        <w:t xml:space="preserve"> </w:t>
      </w:r>
      <w:r>
        <w:rPr>
          <w:rFonts w:ascii="David" w:hAnsi="David" w:cs="David"/>
          <w:color w:val="000000"/>
          <w:sz w:val="18"/>
          <w:szCs w:val="18"/>
          <w:rtl/>
        </w:rPr>
        <w:t>. עי' תוספתא פרה פ"ו, לגי' ר"ש פרה פ"ו מ"ב ובהגר"א וז"ז לתוספ' שם, ועי' ר"ש שם, ועי' חזו"א פרה סי' יא ס"ק יד, שכ"מ מכך שהביאה התוספ' דין זה קודם מח' התנאים דלעיל.</w:t>
      </w:r>
    </w:p>
  </w:footnote>
  <w:footnote w:id="660">
    <w:p w14:paraId="78DAA9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660</w:t>
      </w:r>
      <w:r>
        <w:rPr>
          <w:rFonts w:ascii="David" w:hAnsi="David" w:cs="David"/>
          <w:sz w:val="24"/>
          <w:szCs w:val="24"/>
          <w:rtl/>
        </w:rPr>
        <w:t xml:space="preserve"> </w:t>
      </w:r>
      <w:r>
        <w:rPr>
          <w:rFonts w:ascii="David" w:hAnsi="David" w:cs="David"/>
          <w:color w:val="000000"/>
          <w:sz w:val="18"/>
          <w:szCs w:val="18"/>
          <w:rtl/>
        </w:rPr>
        <w:t>. עי' ציונים 472, 498. ר"ש שם; בהגר"א וז"ז שם; משנ"א ודעת יוסף שם ואו"ש פרה פ"ט ה"ג, ע"ש שכ"כ לשיטתם בציון 647 ואילך, בטעם הפסול באפר שנתקדש. ועי' או"ש וחזו"א ודעת יוסף שם, בטעם שלא נפסלו מטעם דיחוי במצוות, ועי' ציון 670, ועי' ציון 89, על דיחוי במים המקודשים.</w:t>
      </w:r>
    </w:p>
  </w:footnote>
  <w:footnote w:id="661">
    <w:p w14:paraId="77A117D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661</w:t>
      </w:r>
      <w:r>
        <w:rPr>
          <w:rFonts w:ascii="David" w:hAnsi="David" w:cs="David"/>
          <w:sz w:val="24"/>
          <w:szCs w:val="24"/>
          <w:rtl/>
        </w:rPr>
        <w:t xml:space="preserve"> </w:t>
      </w:r>
      <w:r>
        <w:rPr>
          <w:rFonts w:ascii="David" w:hAnsi="David" w:cs="David"/>
          <w:color w:val="000000"/>
          <w:sz w:val="18"/>
          <w:szCs w:val="18"/>
          <w:rtl/>
        </w:rPr>
        <w:t>. עי' ציון 405, ושם על דין מים ואפר בב"א.</w:t>
      </w:r>
    </w:p>
  </w:footnote>
  <w:footnote w:id="662">
    <w:p w14:paraId="7A1DCF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662</w:t>
      </w:r>
      <w:r>
        <w:rPr>
          <w:rFonts w:ascii="David" w:hAnsi="David" w:cs="David"/>
          <w:sz w:val="24"/>
          <w:szCs w:val="24"/>
          <w:rtl/>
        </w:rPr>
        <w:t xml:space="preserve"> </w:t>
      </w:r>
      <w:r>
        <w:rPr>
          <w:rFonts w:ascii="David" w:hAnsi="David" w:cs="David"/>
          <w:color w:val="000000"/>
          <w:sz w:val="18"/>
          <w:szCs w:val="18"/>
          <w:rtl/>
        </w:rPr>
        <w:t>. חזו"א שם, ועי' ציון 438. ועי' להלן, שצידד שבלא ניגוב פסול משום חציצה. ועי' ציון 438, שהגרי"ז צידד שאף ע"י מים פסולים יש לאפר שם מי חטאת, ופסולים לקידוש, ועי' להלן אם ניגוב מועיל לזה.</w:t>
      </w:r>
    </w:p>
  </w:footnote>
  <w:footnote w:id="663">
    <w:p w14:paraId="64A2EE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663</w:t>
      </w:r>
      <w:r>
        <w:rPr>
          <w:rFonts w:ascii="David" w:hAnsi="David" w:cs="David"/>
          <w:sz w:val="24"/>
          <w:szCs w:val="24"/>
          <w:rtl/>
        </w:rPr>
        <w:t xml:space="preserve"> </w:t>
      </w:r>
      <w:r>
        <w:rPr>
          <w:rFonts w:ascii="David" w:hAnsi="David" w:cs="David"/>
          <w:color w:val="000000"/>
          <w:sz w:val="18"/>
          <w:szCs w:val="18"/>
          <w:rtl/>
        </w:rPr>
        <w:t>. חזו"א שם. ועי' ציון 672.</w:t>
      </w:r>
    </w:p>
  </w:footnote>
  <w:footnote w:id="664">
    <w:p w14:paraId="59994B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664</w:t>
      </w:r>
      <w:r>
        <w:rPr>
          <w:rFonts w:ascii="David" w:hAnsi="David" w:cs="David"/>
          <w:sz w:val="24"/>
          <w:szCs w:val="24"/>
          <w:rtl/>
        </w:rPr>
        <w:t xml:space="preserve"> </w:t>
      </w:r>
      <w:r>
        <w:rPr>
          <w:rFonts w:ascii="David" w:hAnsi="David" w:cs="David"/>
          <w:color w:val="000000"/>
          <w:sz w:val="18"/>
          <w:szCs w:val="18"/>
          <w:rtl/>
        </w:rPr>
        <w:t>. חזו"א שם.</w:t>
      </w:r>
    </w:p>
  </w:footnote>
  <w:footnote w:id="665">
    <w:p w14:paraId="6900F4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665</w:t>
      </w:r>
      <w:r>
        <w:rPr>
          <w:rFonts w:ascii="David" w:hAnsi="David" w:cs="David"/>
          <w:sz w:val="24"/>
          <w:szCs w:val="24"/>
          <w:rtl/>
        </w:rPr>
        <w:t xml:space="preserve"> </w:t>
      </w:r>
      <w:r>
        <w:rPr>
          <w:rFonts w:ascii="David" w:hAnsi="David" w:cs="David"/>
          <w:color w:val="000000"/>
          <w:sz w:val="18"/>
          <w:szCs w:val="18"/>
          <w:rtl/>
        </w:rPr>
        <w:t>. עי' ציון 514. ועי' ציון 542 ואילך, שי"ס שהעירוב אינו מה"ת ואינו מעכב, וציון 525, שי"ח על דין העירוב.</w:t>
      </w:r>
    </w:p>
  </w:footnote>
  <w:footnote w:id="666">
    <w:p w14:paraId="64BAF0F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666</w:t>
      </w:r>
      <w:r>
        <w:rPr>
          <w:rFonts w:ascii="David" w:hAnsi="David" w:cs="David"/>
          <w:sz w:val="24"/>
          <w:szCs w:val="24"/>
          <w:rtl/>
        </w:rPr>
        <w:t xml:space="preserve"> </w:t>
      </w:r>
      <w:r>
        <w:rPr>
          <w:rFonts w:ascii="David" w:hAnsi="David" w:cs="David"/>
          <w:color w:val="000000"/>
          <w:sz w:val="18"/>
          <w:szCs w:val="18"/>
          <w:rtl/>
        </w:rPr>
        <w:t>. עי' חי' הגרי"ז סוטה טז ב; דעת יוסף שם.</w:t>
      </w:r>
    </w:p>
  </w:footnote>
  <w:footnote w:id="667">
    <w:p w14:paraId="72BB5E4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667</w:t>
      </w:r>
      <w:r>
        <w:rPr>
          <w:rFonts w:ascii="David" w:hAnsi="David" w:cs="David"/>
          <w:sz w:val="24"/>
          <w:szCs w:val="24"/>
          <w:rtl/>
        </w:rPr>
        <w:t xml:space="preserve"> </w:t>
      </w:r>
      <w:r>
        <w:rPr>
          <w:rFonts w:ascii="David" w:hAnsi="David" w:cs="David"/>
          <w:color w:val="000000"/>
          <w:sz w:val="18"/>
          <w:szCs w:val="18"/>
          <w:rtl/>
        </w:rPr>
        <w:t>. דעת יוסף שם, ועי' ציון 647 ואילך. ועי' חי' הגרי"ז שם, שנשאר בקושיא.</w:t>
      </w:r>
    </w:p>
  </w:footnote>
  <w:footnote w:id="668">
    <w:p w14:paraId="191C406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668</w:t>
      </w:r>
      <w:r>
        <w:rPr>
          <w:rFonts w:ascii="David" w:hAnsi="David" w:cs="David"/>
          <w:sz w:val="24"/>
          <w:szCs w:val="24"/>
          <w:rtl/>
        </w:rPr>
        <w:t xml:space="preserve"> </w:t>
      </w:r>
      <w:r>
        <w:rPr>
          <w:rFonts w:ascii="David" w:hAnsi="David" w:cs="David"/>
          <w:color w:val="000000"/>
          <w:sz w:val="18"/>
          <w:szCs w:val="18"/>
          <w:rtl/>
        </w:rPr>
        <w:t>. רמב"ם פרה פ"ט ה"ג; עי' תפא"י שם אות כ: אפי' נפל מעצמו לשם. ועי' חס"ד לתוספתא שם, בתי' א', ומשנ"א פרה פ"ו מ"א ומ"ב וחזו"א שם ודעת יוסף שם מ"ג (ועי' דעת יוסף שם מ"ב), שכן גרס הרמב"ם בתוספתא שם, ועי' חס"ד שם, שכן מוכח בכס"מ שם שהביא מקור לרמב"ם מתוספ' שם, ועי' חס"ד שם, בתי' ב', וק"ס ואו"ש שם וערה"ש פרה סי' סח סי"א, שהרמב"ם למד כן מסתימת משנה שם: כל שנגע במים אין מקדשין בו, שמ' אפי' נגע מחמת הרוח.</w:t>
      </w:r>
    </w:p>
  </w:footnote>
  <w:footnote w:id="669">
    <w:p w14:paraId="6BE07A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669</w:t>
      </w:r>
      <w:r>
        <w:rPr>
          <w:rFonts w:ascii="David" w:hAnsi="David" w:cs="David"/>
          <w:sz w:val="24"/>
          <w:szCs w:val="24"/>
          <w:rtl/>
        </w:rPr>
        <w:t xml:space="preserve"> </w:t>
      </w:r>
      <w:r>
        <w:rPr>
          <w:rFonts w:ascii="David" w:hAnsi="David" w:cs="David"/>
          <w:color w:val="000000"/>
          <w:sz w:val="18"/>
          <w:szCs w:val="18"/>
          <w:rtl/>
        </w:rPr>
        <w:t>. חס"ד שם. וצ"ב, ואולי כוונתו שפסול מדרבנן מפני שדומה לקידוש.</w:t>
      </w:r>
    </w:p>
  </w:footnote>
  <w:footnote w:id="670">
    <w:p w14:paraId="1DD4D9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670</w:t>
      </w:r>
      <w:r>
        <w:rPr>
          <w:rFonts w:ascii="David" w:hAnsi="David" w:cs="David"/>
          <w:sz w:val="24"/>
          <w:szCs w:val="24"/>
          <w:rtl/>
        </w:rPr>
        <w:t xml:space="preserve"> </w:t>
      </w:r>
      <w:r>
        <w:rPr>
          <w:rFonts w:ascii="David" w:hAnsi="David" w:cs="David"/>
          <w:color w:val="000000"/>
          <w:sz w:val="18"/>
          <w:szCs w:val="18"/>
          <w:rtl/>
        </w:rPr>
        <w:t>. עי' ציון 512.</w:t>
      </w:r>
    </w:p>
  </w:footnote>
  <w:footnote w:id="671">
    <w:p w14:paraId="09B09B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671</w:t>
      </w:r>
      <w:r>
        <w:rPr>
          <w:rFonts w:ascii="David" w:hAnsi="David" w:cs="David"/>
          <w:sz w:val="24"/>
          <w:szCs w:val="24"/>
          <w:rtl/>
        </w:rPr>
        <w:t xml:space="preserve"> </w:t>
      </w:r>
      <w:r>
        <w:rPr>
          <w:rFonts w:ascii="David" w:hAnsi="David" w:cs="David"/>
          <w:color w:val="000000"/>
          <w:sz w:val="18"/>
          <w:szCs w:val="18"/>
          <w:rtl/>
        </w:rPr>
        <w:t>. חזו"א שם. וע"ש שאין להחשיבו כדיחוי מחמת מים פסולים שעליו, עי' ציון 662, לפי שהאפר ראוי לקדש, אלא שיפסל מחמת תערובת מים פסולים, ועי' ציון 660. ולכאו' אף אם הוא פסול משום שחל עליו שם מי חטאת, עי' לעיל ולהלן, י"ל שיפסל משום דיחוי, ועי' ציון הבא.</w:t>
      </w:r>
    </w:p>
  </w:footnote>
  <w:footnote w:id="672">
    <w:p w14:paraId="574447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672</w:t>
      </w:r>
      <w:r>
        <w:rPr>
          <w:rFonts w:ascii="David" w:hAnsi="David" w:cs="David"/>
          <w:sz w:val="24"/>
          <w:szCs w:val="24"/>
          <w:rtl/>
        </w:rPr>
        <w:t xml:space="preserve"> </w:t>
      </w:r>
      <w:r>
        <w:rPr>
          <w:rFonts w:ascii="David" w:hAnsi="David" w:cs="David"/>
          <w:color w:val="000000"/>
          <w:sz w:val="18"/>
          <w:szCs w:val="18"/>
          <w:rtl/>
        </w:rPr>
        <w:t>. חזו"א שם, לד' רמב"ם שם, לשיטתו בציון הקודם, אבל להסבר שבציון 669, במים הפסולים לקידוש יועיל ניגוב. וכ"כ בלחם שמים פרה פ"ט מ"ו, אבל אפשר שכוונתו בלא ניגוב, עי' לעיל. ועי' חי' הגרי"ז מנחות ז ב, שבציון 438, שצידד שכשנתנו למים פסולים חל עליו שם מי חטאת, ולכאו' לסוברים בד' חכמים שאף אחר שהתייבשו שם מי חטאת עליהם, עי' ציון 648, אף כשהמים פסולים הוא כן.</w:t>
      </w:r>
    </w:p>
  </w:footnote>
  <w:footnote w:id="673">
    <w:p w14:paraId="71720D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673</w:t>
      </w:r>
      <w:r>
        <w:rPr>
          <w:rFonts w:ascii="David" w:hAnsi="David" w:cs="David"/>
          <w:sz w:val="24"/>
          <w:szCs w:val="24"/>
          <w:rtl/>
        </w:rPr>
        <w:t xml:space="preserve"> </w:t>
      </w:r>
      <w:r>
        <w:rPr>
          <w:rFonts w:ascii="David" w:hAnsi="David" w:cs="David"/>
          <w:color w:val="000000"/>
          <w:sz w:val="18"/>
          <w:szCs w:val="18"/>
          <w:rtl/>
        </w:rPr>
        <w:t>. חזו"א שם: נראה. וצ"ב מדוע צריך לנגבו, הרי מי חטאת שבלועים באפר אינם פוסלים משום תערובת במים שמקדש בהם, עי' ציון 890, ואם הוא משום חציצה, עי' ציון 670, ואף מים מקודשים חוצצים בין האפר למים, א"כ לא יועיל בזה ניגוב, עי' לעיל, ועי' תפא"י שבציון 658. ולד' הגרי"ז הנ"ל, י"ל שאף ע"י מים מקודשים פקע שם אפר, ועי' לעיל אם מועיל בזה ניגוב.</w:t>
      </w:r>
    </w:p>
  </w:footnote>
  <w:footnote w:id="674">
    <w:p w14:paraId="3F69B9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674</w:t>
      </w:r>
      <w:r>
        <w:rPr>
          <w:rFonts w:ascii="David" w:hAnsi="David" w:cs="David"/>
          <w:sz w:val="24"/>
          <w:szCs w:val="24"/>
          <w:rtl/>
        </w:rPr>
        <w:t xml:space="preserve"> </w:t>
      </w:r>
      <w:r>
        <w:rPr>
          <w:rFonts w:ascii="David" w:hAnsi="David" w:cs="David"/>
          <w:color w:val="000000"/>
          <w:sz w:val="18"/>
          <w:szCs w:val="18"/>
          <w:rtl/>
        </w:rPr>
        <w:t>. ציון 753 ואילך.</w:t>
      </w:r>
    </w:p>
  </w:footnote>
  <w:footnote w:id="675">
    <w:p w14:paraId="560CB0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675</w:t>
      </w:r>
      <w:r>
        <w:rPr>
          <w:rFonts w:ascii="David" w:hAnsi="David" w:cs="David"/>
          <w:sz w:val="24"/>
          <w:szCs w:val="24"/>
          <w:rtl/>
        </w:rPr>
        <w:t xml:space="preserve"> </w:t>
      </w:r>
      <w:r>
        <w:rPr>
          <w:rFonts w:ascii="David" w:hAnsi="David" w:cs="David"/>
          <w:color w:val="000000"/>
          <w:sz w:val="18"/>
          <w:szCs w:val="18"/>
          <w:rtl/>
        </w:rPr>
        <w:t>. עי' להלן.</w:t>
      </w:r>
    </w:p>
  </w:footnote>
  <w:footnote w:id="676">
    <w:p w14:paraId="3FD813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676</w:t>
      </w:r>
      <w:r>
        <w:rPr>
          <w:rFonts w:ascii="David" w:hAnsi="David" w:cs="David"/>
          <w:sz w:val="24"/>
          <w:szCs w:val="24"/>
          <w:rtl/>
        </w:rPr>
        <w:t xml:space="preserve"> </w:t>
      </w:r>
      <w:r>
        <w:rPr>
          <w:rFonts w:ascii="David" w:hAnsi="David" w:cs="David"/>
          <w:color w:val="000000"/>
          <w:sz w:val="18"/>
          <w:szCs w:val="18"/>
          <w:rtl/>
        </w:rPr>
        <w:t>. ע"ע תלמוד תורה. עי' קדושין נח ב, ורש"י ד"ה בשכר. ועי' שד"ח מע' ר"ה סי' ב אות יז.</w:t>
      </w:r>
    </w:p>
  </w:footnote>
  <w:footnote w:id="677">
    <w:p w14:paraId="5F794B7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677</w:t>
      </w:r>
      <w:r>
        <w:rPr>
          <w:rFonts w:ascii="David" w:hAnsi="David" w:cs="David"/>
          <w:sz w:val="24"/>
          <w:szCs w:val="24"/>
          <w:rtl/>
        </w:rPr>
        <w:t xml:space="preserve"> </w:t>
      </w:r>
      <w:r>
        <w:rPr>
          <w:rFonts w:ascii="David" w:hAnsi="David" w:cs="David"/>
          <w:color w:val="000000"/>
          <w:sz w:val="18"/>
          <w:szCs w:val="18"/>
          <w:rtl/>
        </w:rPr>
        <w:t>. מאירי קדושין נו ב.</w:t>
      </w:r>
    </w:p>
  </w:footnote>
  <w:footnote w:id="678">
    <w:p w14:paraId="4B50007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678</w:t>
      </w:r>
      <w:r>
        <w:rPr>
          <w:rFonts w:ascii="David" w:hAnsi="David" w:cs="David"/>
          <w:sz w:val="24"/>
          <w:szCs w:val="24"/>
          <w:rtl/>
        </w:rPr>
        <w:t xml:space="preserve"> </w:t>
      </w:r>
      <w:r>
        <w:rPr>
          <w:rFonts w:ascii="David" w:hAnsi="David" w:cs="David"/>
          <w:color w:val="000000"/>
          <w:sz w:val="18"/>
          <w:szCs w:val="18"/>
          <w:rtl/>
        </w:rPr>
        <w:t>. עי' רמב"ם פרה פ"ז ה"ב; ריטב"א קדושין נח ב, ע"פ משנה בכורות כט א. ועי' צאן קדשים בכורות שם, שאסור שכר בטלה, ועי' שעה"מ ובן שלמה אישות פ"ה ה"ג שתמהו, ועי' משמרות כהונה קדושין שם.</w:t>
      </w:r>
    </w:p>
  </w:footnote>
  <w:footnote w:id="679">
    <w:p w14:paraId="572EF44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679</w:t>
      </w:r>
      <w:r>
        <w:rPr>
          <w:rFonts w:ascii="David" w:hAnsi="David" w:cs="David"/>
          <w:sz w:val="24"/>
          <w:szCs w:val="24"/>
          <w:rtl/>
        </w:rPr>
        <w:t xml:space="preserve"> </w:t>
      </w:r>
      <w:r>
        <w:rPr>
          <w:rFonts w:ascii="David" w:hAnsi="David" w:cs="David"/>
          <w:color w:val="000000"/>
          <w:sz w:val="18"/>
          <w:szCs w:val="18"/>
          <w:rtl/>
        </w:rPr>
        <w:t>. פהמ"ש בכורות שם; תוס' קדושין ד"ה מימיו, ותוס' הרא"ש ותוס' ר' שמואל שם; רשב"א וריטב"א שם; נ"י שם א. ועי' ציון 6 ואילך.</w:t>
      </w:r>
    </w:p>
  </w:footnote>
  <w:footnote w:id="680">
    <w:p w14:paraId="3F5F1FB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680</w:t>
      </w:r>
      <w:r>
        <w:rPr>
          <w:rFonts w:ascii="David" w:hAnsi="David" w:cs="David"/>
          <w:sz w:val="24"/>
          <w:szCs w:val="24"/>
          <w:rtl/>
        </w:rPr>
        <w:t xml:space="preserve"> </w:t>
      </w:r>
      <w:r>
        <w:rPr>
          <w:rFonts w:ascii="David" w:hAnsi="David" w:cs="David"/>
          <w:color w:val="000000"/>
          <w:sz w:val="18"/>
          <w:szCs w:val="18"/>
          <w:rtl/>
        </w:rPr>
        <w:t>. רש"י קדושין שם ב ד"ה מי; ר' חננאל בן שמואל שם. ומ' שמים סרוחים פסולים (עי' ר"ח ב"ש וריטב"א שם), ועי' ציון 1245, וע' מים חיים.</w:t>
      </w:r>
    </w:p>
  </w:footnote>
  <w:footnote w:id="681">
    <w:p w14:paraId="3F507E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681</w:t>
      </w:r>
      <w:r>
        <w:rPr>
          <w:rFonts w:ascii="David" w:hAnsi="David" w:cs="David"/>
          <w:sz w:val="24"/>
          <w:szCs w:val="24"/>
          <w:rtl/>
        </w:rPr>
        <w:t xml:space="preserve"> </w:t>
      </w:r>
      <w:r>
        <w:rPr>
          <w:rFonts w:ascii="David" w:hAnsi="David" w:cs="David"/>
          <w:color w:val="000000"/>
          <w:sz w:val="18"/>
          <w:szCs w:val="18"/>
          <w:rtl/>
        </w:rPr>
        <w:t>. משנה בכורות שם; רמב"ם שם. ועי' ריטב"א קדושין שם, שכיון שהקידוש פסול, אין לו שכר.</w:t>
      </w:r>
    </w:p>
  </w:footnote>
  <w:footnote w:id="682">
    <w:p w14:paraId="0E2432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682</w:t>
      </w:r>
      <w:r>
        <w:rPr>
          <w:rFonts w:ascii="David" w:hAnsi="David" w:cs="David"/>
          <w:sz w:val="24"/>
          <w:szCs w:val="24"/>
          <w:rtl/>
        </w:rPr>
        <w:t xml:space="preserve"> </w:t>
      </w:r>
      <w:r>
        <w:rPr>
          <w:rFonts w:ascii="David" w:hAnsi="David" w:cs="David"/>
          <w:color w:val="000000"/>
          <w:sz w:val="18"/>
          <w:szCs w:val="18"/>
          <w:rtl/>
        </w:rPr>
        <w:t>. רש"י שם ד"ה אפר.</w:t>
      </w:r>
    </w:p>
  </w:footnote>
  <w:footnote w:id="683">
    <w:p w14:paraId="1DAAD3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683</w:t>
      </w:r>
      <w:r>
        <w:rPr>
          <w:rFonts w:ascii="David" w:hAnsi="David" w:cs="David"/>
          <w:sz w:val="24"/>
          <w:szCs w:val="24"/>
          <w:rtl/>
        </w:rPr>
        <w:t xml:space="preserve"> </w:t>
      </w:r>
      <w:r>
        <w:rPr>
          <w:rFonts w:ascii="David" w:hAnsi="David" w:cs="David"/>
          <w:color w:val="000000"/>
          <w:sz w:val="18"/>
          <w:szCs w:val="18"/>
          <w:rtl/>
        </w:rPr>
        <w:t>. עי' כס"מ פרה פ"ח ה"ו, ומוצל מאש סי' לח, בשם בעל מל"מ בדעתו, ועי' ד' המחבר במוצל מאש שם, שפי' בע"א, ועי' הגהה במל"מ סנהדרין פכ"ג ה"ה ושעה"מ אישות שם וברכ"י חו"מ סי' ט ס"ק יז. ועי' להלן. ועי' מנ"ח סי' שצט, ושם שנסתפק (לשיטתו להלן, שהוא דין דרבנן), אם החזיר השכר, אם חוזר להכשרו. ועי' חזו"א פרה סי' ט ס"ק ג.</w:t>
      </w:r>
    </w:p>
  </w:footnote>
  <w:footnote w:id="684">
    <w:p w14:paraId="3D7ABE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684</w:t>
      </w:r>
      <w:r>
        <w:rPr>
          <w:rFonts w:ascii="David" w:hAnsi="David" w:cs="David"/>
          <w:sz w:val="24"/>
          <w:szCs w:val="24"/>
          <w:rtl/>
        </w:rPr>
        <w:t xml:space="preserve"> </w:t>
      </w:r>
      <w:r>
        <w:rPr>
          <w:rFonts w:ascii="David" w:hAnsi="David" w:cs="David"/>
          <w:color w:val="000000"/>
          <w:sz w:val="18"/>
          <w:szCs w:val="18"/>
          <w:rtl/>
        </w:rPr>
        <w:t>. פרה פ"ז מ"ד; רמב"ם פרה שם.</w:t>
      </w:r>
    </w:p>
  </w:footnote>
  <w:footnote w:id="685">
    <w:p w14:paraId="28E04FB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685</w:t>
      </w:r>
      <w:r>
        <w:rPr>
          <w:rFonts w:ascii="David" w:hAnsi="David" w:cs="David"/>
          <w:sz w:val="24"/>
          <w:szCs w:val="24"/>
          <w:rtl/>
        </w:rPr>
        <w:t xml:space="preserve"> </w:t>
      </w:r>
      <w:r>
        <w:rPr>
          <w:rFonts w:ascii="David" w:hAnsi="David" w:cs="David"/>
          <w:color w:val="000000"/>
          <w:sz w:val="18"/>
          <w:szCs w:val="18"/>
          <w:rtl/>
        </w:rPr>
        <w:t>. רמב"ם שם ופהמ"ש שם, ועי' מים טהורים חרד"ן שם וחזו"א שם ס"ק ה, שכן אף ד' הראב"ד שם, וע"ש ס"ק ו ד"ה ויש, שהק'.</w:t>
      </w:r>
    </w:p>
  </w:footnote>
  <w:footnote w:id="686">
    <w:p w14:paraId="405F3C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686</w:t>
      </w:r>
      <w:r>
        <w:rPr>
          <w:rFonts w:ascii="David" w:hAnsi="David" w:cs="David"/>
          <w:sz w:val="24"/>
          <w:szCs w:val="24"/>
          <w:rtl/>
        </w:rPr>
        <w:t xml:space="preserve"> </w:t>
      </w:r>
      <w:r>
        <w:rPr>
          <w:rFonts w:ascii="David" w:hAnsi="David" w:cs="David"/>
          <w:color w:val="000000"/>
          <w:sz w:val="18"/>
          <w:szCs w:val="18"/>
          <w:rtl/>
        </w:rPr>
        <w:t>. עי' חזו"א שם ס"ק ג וה, בצד אחד, ושם ס"ק ו ד"ה ולדעת, שלכן שא"ר חולקים בזה, ומפרשים את הפסול משום מלאכה, עי' ציון 60 ואילך, ועי' מים טהורים שם.</w:t>
      </w:r>
    </w:p>
  </w:footnote>
  <w:footnote w:id="687">
    <w:p w14:paraId="20AD7BF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687</w:t>
      </w:r>
      <w:r>
        <w:rPr>
          <w:rFonts w:ascii="David" w:hAnsi="David" w:cs="David"/>
          <w:sz w:val="24"/>
          <w:szCs w:val="24"/>
          <w:rtl/>
        </w:rPr>
        <w:t xml:space="preserve"> </w:t>
      </w:r>
      <w:r>
        <w:rPr>
          <w:rFonts w:ascii="David" w:hAnsi="David" w:cs="David"/>
          <w:color w:val="000000"/>
          <w:sz w:val="18"/>
          <w:szCs w:val="18"/>
          <w:rtl/>
        </w:rPr>
        <w:t>. עי' לעיל. כס"מ שם; חזו"א ס"ק ג שם בצד אחד.</w:t>
      </w:r>
    </w:p>
  </w:footnote>
  <w:footnote w:id="688">
    <w:p w14:paraId="3A7887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688</w:t>
      </w:r>
      <w:r>
        <w:rPr>
          <w:rFonts w:ascii="David" w:hAnsi="David" w:cs="David"/>
          <w:sz w:val="24"/>
          <w:szCs w:val="24"/>
          <w:rtl/>
        </w:rPr>
        <w:t xml:space="preserve"> </w:t>
      </w:r>
      <w:r>
        <w:rPr>
          <w:rFonts w:ascii="David" w:hAnsi="David" w:cs="David"/>
          <w:color w:val="000000"/>
          <w:sz w:val="18"/>
          <w:szCs w:val="18"/>
          <w:rtl/>
        </w:rPr>
        <w:t>. ע"ע תלמוד תורה.</w:t>
      </w:r>
    </w:p>
  </w:footnote>
  <w:footnote w:id="689">
    <w:p w14:paraId="3CFC70E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689</w:t>
      </w:r>
      <w:r>
        <w:rPr>
          <w:rFonts w:ascii="David" w:hAnsi="David" w:cs="David"/>
          <w:sz w:val="24"/>
          <w:szCs w:val="24"/>
          <w:rtl/>
        </w:rPr>
        <w:t xml:space="preserve"> </w:t>
      </w:r>
      <w:r>
        <w:rPr>
          <w:rFonts w:ascii="David" w:hAnsi="David" w:cs="David"/>
          <w:color w:val="000000"/>
          <w:sz w:val="18"/>
          <w:szCs w:val="18"/>
          <w:rtl/>
        </w:rPr>
        <w:t>. תוס' קדושין שם ד"ה מימיו.</w:t>
      </w:r>
    </w:p>
  </w:footnote>
  <w:footnote w:id="690">
    <w:p w14:paraId="3B83D81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690</w:t>
      </w:r>
      <w:r>
        <w:rPr>
          <w:rFonts w:ascii="David" w:hAnsi="David" w:cs="David"/>
          <w:sz w:val="24"/>
          <w:szCs w:val="24"/>
          <w:rtl/>
        </w:rPr>
        <w:t xml:space="preserve"> </w:t>
      </w:r>
      <w:r>
        <w:rPr>
          <w:rFonts w:ascii="David" w:hAnsi="David" w:cs="David"/>
          <w:color w:val="000000"/>
          <w:sz w:val="18"/>
          <w:szCs w:val="18"/>
          <w:rtl/>
        </w:rPr>
        <w:t>. מנ"ח שם. וע"ש שתמה מפני מה אמרו שמימיו מי מערה, הרי מה"ת כשרים, ונ"מ לענין טומאת המים, עי' ציון 1288, וכן שאם היזה בהם, לא יתחייב על ביאת מקדש, וע"ש שאם הסי"ד פסול מה"ת, עי' ציונים 36 ואילך, 56.</w:t>
      </w:r>
    </w:p>
  </w:footnote>
  <w:footnote w:id="691">
    <w:p w14:paraId="4C06789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691</w:t>
      </w:r>
      <w:r>
        <w:rPr>
          <w:rFonts w:ascii="David" w:hAnsi="David" w:cs="David"/>
          <w:sz w:val="24"/>
          <w:szCs w:val="24"/>
          <w:rtl/>
        </w:rPr>
        <w:t xml:space="preserve"> </w:t>
      </w:r>
      <w:r>
        <w:rPr>
          <w:rFonts w:ascii="David" w:hAnsi="David" w:cs="David"/>
          <w:color w:val="000000"/>
          <w:sz w:val="18"/>
          <w:szCs w:val="18"/>
          <w:rtl/>
        </w:rPr>
        <w:t>. דרך שיחה פ' אמור (ויקרא כג כד) עמ' עט.</w:t>
      </w:r>
    </w:p>
  </w:footnote>
  <w:footnote w:id="692">
    <w:p w14:paraId="2F4E4C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692</w:t>
      </w:r>
      <w:r>
        <w:rPr>
          <w:rFonts w:ascii="David" w:hAnsi="David" w:cs="David"/>
          <w:sz w:val="24"/>
          <w:szCs w:val="24"/>
          <w:rtl/>
        </w:rPr>
        <w:t xml:space="preserve"> </w:t>
      </w:r>
      <w:r>
        <w:rPr>
          <w:rFonts w:ascii="David" w:hAnsi="David" w:cs="David"/>
          <w:color w:val="000000"/>
          <w:sz w:val="18"/>
          <w:szCs w:val="18"/>
          <w:rtl/>
        </w:rPr>
        <w:t>. ציון 442 ואילך.</w:t>
      </w:r>
    </w:p>
  </w:footnote>
  <w:footnote w:id="693">
    <w:p w14:paraId="69D68A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693</w:t>
      </w:r>
      <w:r>
        <w:rPr>
          <w:rFonts w:ascii="David" w:hAnsi="David" w:cs="David"/>
          <w:sz w:val="24"/>
          <w:szCs w:val="24"/>
          <w:rtl/>
        </w:rPr>
        <w:t xml:space="preserve"> </w:t>
      </w:r>
      <w:r>
        <w:rPr>
          <w:rFonts w:ascii="David" w:hAnsi="David" w:cs="David"/>
          <w:color w:val="000000"/>
          <w:sz w:val="18"/>
          <w:szCs w:val="18"/>
          <w:rtl/>
        </w:rPr>
        <w:t>. ציון 390 ואילך.</w:t>
      </w:r>
    </w:p>
  </w:footnote>
  <w:footnote w:id="694">
    <w:p w14:paraId="669988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694</w:t>
      </w:r>
      <w:r>
        <w:rPr>
          <w:rFonts w:ascii="David" w:hAnsi="David" w:cs="David"/>
          <w:sz w:val="24"/>
          <w:szCs w:val="24"/>
          <w:rtl/>
        </w:rPr>
        <w:t xml:space="preserve"> </w:t>
      </w:r>
      <w:r>
        <w:rPr>
          <w:rFonts w:ascii="David" w:hAnsi="David" w:cs="David"/>
          <w:color w:val="000000"/>
          <w:sz w:val="18"/>
          <w:szCs w:val="18"/>
          <w:rtl/>
        </w:rPr>
        <w:t>. עי' ציון 380 ואילך.</w:t>
      </w:r>
    </w:p>
  </w:footnote>
  <w:footnote w:id="695">
    <w:p w14:paraId="2B236A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695</w:t>
      </w:r>
      <w:r>
        <w:rPr>
          <w:rFonts w:ascii="David" w:hAnsi="David" w:cs="David"/>
          <w:sz w:val="24"/>
          <w:szCs w:val="24"/>
          <w:rtl/>
        </w:rPr>
        <w:t xml:space="preserve"> </w:t>
      </w:r>
      <w:r>
        <w:rPr>
          <w:rFonts w:ascii="David" w:hAnsi="David" w:cs="David"/>
          <w:color w:val="000000"/>
          <w:sz w:val="18"/>
          <w:szCs w:val="18"/>
          <w:rtl/>
        </w:rPr>
        <w:t>. עי' להלן. וצ"ב אם דוקא בקרויה משום שהיא רכה, או אף הבלועים בשאר כלים מתקדשים.</w:t>
      </w:r>
    </w:p>
  </w:footnote>
  <w:footnote w:id="696">
    <w:p w14:paraId="08A8A6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696</w:t>
      </w:r>
      <w:r>
        <w:rPr>
          <w:rFonts w:ascii="David" w:hAnsi="David" w:cs="David"/>
          <w:sz w:val="24"/>
          <w:szCs w:val="24"/>
          <w:rtl/>
        </w:rPr>
        <w:t xml:space="preserve"> </w:t>
      </w:r>
      <w:r>
        <w:rPr>
          <w:rFonts w:ascii="David" w:hAnsi="David" w:cs="David"/>
          <w:color w:val="000000"/>
          <w:sz w:val="18"/>
          <w:szCs w:val="18"/>
          <w:rtl/>
        </w:rPr>
        <w:t>. עי' ציון 790, שי"ג כן במשנה. ולכאו' אם יש לחוש, הוא אף כשלא הטבילוה, שכשמלאוה בלעה קודם הקידוש, ועי' ציון 796, שהדרך להשהות המים עד שעת הקידוש. ועי' להלן.</w:t>
      </w:r>
    </w:p>
  </w:footnote>
  <w:footnote w:id="697">
    <w:p w14:paraId="48F545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697</w:t>
      </w:r>
      <w:r>
        <w:rPr>
          <w:rFonts w:ascii="David" w:hAnsi="David" w:cs="David"/>
          <w:sz w:val="24"/>
          <w:szCs w:val="24"/>
          <w:rtl/>
        </w:rPr>
        <w:t xml:space="preserve"> </w:t>
      </w:r>
      <w:r>
        <w:rPr>
          <w:rFonts w:ascii="David" w:hAnsi="David" w:cs="David"/>
          <w:color w:val="000000"/>
          <w:sz w:val="18"/>
          <w:szCs w:val="18"/>
          <w:rtl/>
        </w:rPr>
        <w:t>. עי' ציון 724 ואילך, שתערובת מים שאינם מקודשים פוסלת, ועי' ציון הבא.</w:t>
      </w:r>
    </w:p>
  </w:footnote>
  <w:footnote w:id="698">
    <w:p w14:paraId="046742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698</w:t>
      </w:r>
      <w:r>
        <w:rPr>
          <w:rFonts w:ascii="David" w:hAnsi="David" w:cs="David"/>
          <w:sz w:val="24"/>
          <w:szCs w:val="24"/>
          <w:rtl/>
        </w:rPr>
        <w:t xml:space="preserve"> </w:t>
      </w:r>
      <w:r>
        <w:rPr>
          <w:rFonts w:ascii="David" w:hAnsi="David" w:cs="David"/>
          <w:color w:val="000000"/>
          <w:sz w:val="18"/>
          <w:szCs w:val="18"/>
          <w:rtl/>
        </w:rPr>
        <w:t>. תוי"ט פרה פ"ה מ"ג (ורש"ש שם בדעתו) וחזו"א פרה סי' י ס"ק יג, בד' רמב"ם שבציון 790 ואילך, שאע"פ שאין ליתן בה מים מקודשים, מותר לקדש בה כשהטבילוה במים הראויים לקידוש, שכיון שהיא פולטת מים הראויים, אף אם תפלוט אחר הקידוש, נתקדשו אף אותם המים. וכעי"ז במשנ"א שם: דהבלוע חשיב כמו תוכו דבטל אגב תוכו. ועי' מים טהורים שם מ"ב.</w:t>
      </w:r>
    </w:p>
  </w:footnote>
  <w:footnote w:id="699">
    <w:p w14:paraId="0868E10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699</w:t>
      </w:r>
      <w:r>
        <w:rPr>
          <w:rFonts w:ascii="David" w:hAnsi="David" w:cs="David"/>
          <w:sz w:val="24"/>
          <w:szCs w:val="24"/>
          <w:rtl/>
        </w:rPr>
        <w:t xml:space="preserve"> </w:t>
      </w:r>
      <w:r>
        <w:rPr>
          <w:rFonts w:ascii="David" w:hAnsi="David" w:cs="David"/>
          <w:color w:val="000000"/>
          <w:sz w:val="18"/>
          <w:szCs w:val="18"/>
          <w:rtl/>
        </w:rPr>
        <w:t>. חזו"א שם, ועי' ציון 705.</w:t>
      </w:r>
    </w:p>
  </w:footnote>
  <w:footnote w:id="700">
    <w:p w14:paraId="3A8E29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700</w:t>
      </w:r>
      <w:r>
        <w:rPr>
          <w:rFonts w:ascii="David" w:hAnsi="David" w:cs="David"/>
          <w:sz w:val="24"/>
          <w:szCs w:val="24"/>
          <w:rtl/>
        </w:rPr>
        <w:t xml:space="preserve"> </w:t>
      </w:r>
      <w:r>
        <w:rPr>
          <w:rFonts w:ascii="David" w:hAnsi="David" w:cs="David"/>
          <w:color w:val="000000"/>
          <w:sz w:val="18"/>
          <w:szCs w:val="18"/>
          <w:rtl/>
        </w:rPr>
        <w:t>. עי' ציון 790.</w:t>
      </w:r>
    </w:p>
  </w:footnote>
  <w:footnote w:id="701">
    <w:p w14:paraId="7AE970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701</w:t>
      </w:r>
      <w:r>
        <w:rPr>
          <w:rFonts w:ascii="David" w:hAnsi="David" w:cs="David"/>
          <w:sz w:val="24"/>
          <w:szCs w:val="24"/>
          <w:rtl/>
        </w:rPr>
        <w:t xml:space="preserve"> </w:t>
      </w:r>
      <w:r>
        <w:rPr>
          <w:rFonts w:ascii="David" w:hAnsi="David" w:cs="David"/>
          <w:color w:val="000000"/>
          <w:sz w:val="18"/>
          <w:szCs w:val="18"/>
          <w:rtl/>
        </w:rPr>
        <w:t>. חזו"א שם, בביאור סוף ד' ר' יהושע.</w:t>
      </w:r>
    </w:p>
  </w:footnote>
  <w:footnote w:id="702">
    <w:p w14:paraId="687FA88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702</w:t>
      </w:r>
      <w:r>
        <w:rPr>
          <w:rFonts w:ascii="David" w:hAnsi="David" w:cs="David"/>
          <w:sz w:val="24"/>
          <w:szCs w:val="24"/>
          <w:rtl/>
        </w:rPr>
        <w:t xml:space="preserve"> </w:t>
      </w:r>
      <w:r>
        <w:rPr>
          <w:rFonts w:ascii="David" w:hAnsi="David" w:cs="David"/>
          <w:color w:val="000000"/>
          <w:sz w:val="18"/>
          <w:szCs w:val="18"/>
          <w:rtl/>
        </w:rPr>
        <w:t>. ציון 388.</w:t>
      </w:r>
    </w:p>
  </w:footnote>
  <w:footnote w:id="703">
    <w:p w14:paraId="047258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703</w:t>
      </w:r>
      <w:r>
        <w:rPr>
          <w:rFonts w:ascii="David" w:hAnsi="David" w:cs="David"/>
          <w:sz w:val="24"/>
          <w:szCs w:val="24"/>
          <w:rtl/>
        </w:rPr>
        <w:t xml:space="preserve"> </w:t>
      </w:r>
      <w:r>
        <w:rPr>
          <w:rFonts w:ascii="David" w:hAnsi="David" w:cs="David"/>
          <w:color w:val="000000"/>
          <w:sz w:val="18"/>
          <w:szCs w:val="18"/>
          <w:rtl/>
        </w:rPr>
        <w:t>. ציון 792. ועי' חזו"א שם ס"ק יד, שלפי"ז ד' ר' יהושע שהמים הבלועים מתקדשים (אבל מה שחכמים מכשירים הוא מטעם אחר, ואף במים שאין ראויים לקידוש, עי' ציון 780 ואילך).</w:t>
      </w:r>
    </w:p>
  </w:footnote>
  <w:footnote w:id="704">
    <w:p w14:paraId="31B93B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704</w:t>
      </w:r>
      <w:r>
        <w:rPr>
          <w:rFonts w:ascii="David" w:hAnsi="David" w:cs="David"/>
          <w:sz w:val="24"/>
          <w:szCs w:val="24"/>
          <w:rtl/>
        </w:rPr>
        <w:t xml:space="preserve"> </w:t>
      </w:r>
      <w:r>
        <w:rPr>
          <w:rFonts w:ascii="David" w:hAnsi="David" w:cs="David"/>
          <w:color w:val="000000"/>
          <w:sz w:val="18"/>
          <w:szCs w:val="18"/>
          <w:rtl/>
        </w:rPr>
        <w:t>. ר"ש שם פ"ו מ"ג, בפי' משנה שם. ועי' ר"ש שם, שמזה מהמים שמחוץ לספוג, ועי' פהמ"ש שם, ומים טהורים שם בדעתו.</w:t>
      </w:r>
    </w:p>
  </w:footnote>
  <w:footnote w:id="705">
    <w:p w14:paraId="2A1B4F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705</w:t>
      </w:r>
      <w:r>
        <w:rPr>
          <w:rFonts w:ascii="David" w:hAnsi="David" w:cs="David"/>
          <w:sz w:val="24"/>
          <w:szCs w:val="24"/>
          <w:rtl/>
        </w:rPr>
        <w:t xml:space="preserve"> </w:t>
      </w:r>
      <w:r>
        <w:rPr>
          <w:rFonts w:ascii="David" w:hAnsi="David" w:cs="David"/>
          <w:color w:val="000000"/>
          <w:sz w:val="18"/>
          <w:szCs w:val="18"/>
          <w:rtl/>
        </w:rPr>
        <w:t>. רש"ש שם פ"ה מ"ג. ועי' חזו"א שבציון 699, ולכאו' אינו חולק, ולא כ' אלא שלפוסלים ספוג משום שאינו כלי, מים שבדופן הקרויה חשובים בכלי.</w:t>
      </w:r>
    </w:p>
  </w:footnote>
  <w:footnote w:id="706">
    <w:p w14:paraId="74D0F2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706</w:t>
      </w:r>
      <w:r>
        <w:rPr>
          <w:rFonts w:ascii="David" w:hAnsi="David" w:cs="David"/>
          <w:sz w:val="24"/>
          <w:szCs w:val="24"/>
          <w:rtl/>
        </w:rPr>
        <w:t xml:space="preserve"> </w:t>
      </w:r>
      <w:r>
        <w:rPr>
          <w:rFonts w:ascii="David" w:hAnsi="David" w:cs="David"/>
          <w:color w:val="000000"/>
          <w:sz w:val="18"/>
          <w:szCs w:val="18"/>
          <w:rtl/>
        </w:rPr>
        <w:t>. עי' ציון 798. ועי' ציון 780 ואילך, שי"ס שאף במים שאין ראויים לקידוש לא חששו.</w:t>
      </w:r>
    </w:p>
  </w:footnote>
  <w:footnote w:id="707">
    <w:p w14:paraId="0EE34F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707</w:t>
      </w:r>
      <w:r>
        <w:rPr>
          <w:rFonts w:ascii="David" w:hAnsi="David" w:cs="David"/>
          <w:sz w:val="24"/>
          <w:szCs w:val="24"/>
          <w:rtl/>
        </w:rPr>
        <w:t xml:space="preserve"> </w:t>
      </w:r>
      <w:r>
        <w:rPr>
          <w:rFonts w:ascii="David" w:hAnsi="David" w:cs="David"/>
          <w:color w:val="000000"/>
          <w:sz w:val="18"/>
          <w:szCs w:val="18"/>
          <w:rtl/>
        </w:rPr>
        <w:t>. ציון 2457.</w:t>
      </w:r>
    </w:p>
  </w:footnote>
  <w:footnote w:id="708">
    <w:p w14:paraId="416A7C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708</w:t>
      </w:r>
      <w:r>
        <w:rPr>
          <w:rFonts w:ascii="David" w:hAnsi="David" w:cs="David"/>
          <w:sz w:val="24"/>
          <w:szCs w:val="24"/>
          <w:rtl/>
        </w:rPr>
        <w:t xml:space="preserve"> </w:t>
      </w:r>
      <w:r>
        <w:rPr>
          <w:rFonts w:ascii="David" w:hAnsi="David" w:cs="David"/>
          <w:color w:val="000000"/>
          <w:sz w:val="18"/>
          <w:szCs w:val="18"/>
          <w:rtl/>
        </w:rPr>
        <w:t>. ציון 241 ואילך. ועי' חזו"א שם סי' יב ס"ק ז, שלפ"ז י"ל שבקידוש כשרים, והיינו שאע"פ שהבלוע אינו חשוב שנתמלא בכלי, מועיל בו קידוש, וצ"ב, ועי' ציון הקודם.</w:t>
      </w:r>
    </w:p>
  </w:footnote>
  <w:footnote w:id="709">
    <w:p w14:paraId="2D2CE4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709</w:t>
      </w:r>
      <w:r>
        <w:rPr>
          <w:rFonts w:ascii="David" w:hAnsi="David" w:cs="David"/>
          <w:sz w:val="24"/>
          <w:szCs w:val="24"/>
          <w:rtl/>
        </w:rPr>
        <w:t xml:space="preserve"> </w:t>
      </w:r>
      <w:r>
        <w:rPr>
          <w:rFonts w:ascii="David" w:hAnsi="David" w:cs="David"/>
          <w:color w:val="000000"/>
          <w:sz w:val="18"/>
          <w:szCs w:val="18"/>
          <w:rtl/>
        </w:rPr>
        <w:t>. עי' משניות וראשונים ואחרונים דלהלן, ועי' ציונים 43, 77. ועי' משנ"א פרה פ"ה מ"ב, שנקט שקודם מילוי שאין עליהם שם מי חטאת (ועי' ציון 3) לא נפסלו, וכן צידד שם פ"ט מ"א, ומסקנתו שזה תלוי במח' בתערובת מיעוט אפר מקלה באפר כשר, ע"ע אפר חטאת ציון 136 ואילך, ועי' להלן ציון 715, ועי' להלן שבפ"ג מ"ג נקט שפסול, וכן בפ"ט מ"ב (עי' ציון 828). ועי' חזו"א פרה סי' יא ס"ק יג, שמועיל קידוש התערובת, שייחשב כמים מקודשים שנתערבו, ועי' ציון 755, וכ"נ באחרונים שבציון 714 ואילך.</w:t>
      </w:r>
    </w:p>
  </w:footnote>
  <w:footnote w:id="710">
    <w:p w14:paraId="2E50D3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710</w:t>
      </w:r>
      <w:r>
        <w:rPr>
          <w:rFonts w:ascii="David" w:hAnsi="David" w:cs="David"/>
          <w:sz w:val="24"/>
          <w:szCs w:val="24"/>
          <w:rtl/>
        </w:rPr>
        <w:t xml:space="preserve"> </w:t>
      </w:r>
      <w:r>
        <w:rPr>
          <w:rFonts w:ascii="David" w:hAnsi="David" w:cs="David"/>
          <w:color w:val="000000"/>
          <w:sz w:val="18"/>
          <w:szCs w:val="18"/>
          <w:rtl/>
        </w:rPr>
        <w:t>. ע"ע בטול ברוב. א"ר פ"ג שם; משנ"א ותפא"י שבציון הבא. ועי' חזו"א שם סי' י ס"ק יא, שהביטול אינו מועיל להכשיר בהם הקידוש (ועי' ציון 746), אלא שתועיל ההזאה מהמים הכשרים, ועי' ציון הנ"ל, שי"ס שמטעם זה אין הביטול מועיל מה"ת, וצ"ב אם לדבריהם אף קודם קידוש אינו מועיל מה"ת, ועי' ציון 781. ועי' ציון 782.</w:t>
      </w:r>
    </w:p>
  </w:footnote>
  <w:footnote w:id="711">
    <w:p w14:paraId="6DDFD3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711</w:t>
      </w:r>
      <w:r>
        <w:rPr>
          <w:rFonts w:ascii="David" w:hAnsi="David" w:cs="David"/>
          <w:sz w:val="24"/>
          <w:szCs w:val="24"/>
          <w:rtl/>
        </w:rPr>
        <w:t xml:space="preserve"> </w:t>
      </w:r>
      <w:r>
        <w:rPr>
          <w:rFonts w:ascii="David" w:hAnsi="David" w:cs="David"/>
          <w:color w:val="000000"/>
          <w:sz w:val="18"/>
          <w:szCs w:val="18"/>
          <w:rtl/>
        </w:rPr>
        <w:t>. משנ"א שם, ועי' לעיל; תפא"י בועז שם פ"ח אות ז; חזו"א שם, וע"ש לשיטתו בציון הקודם, שמדמה לתערובת במים מקודשים, שבציון 724 ואילך, ועי' ציון 714, שי"ל שבמים שלא נתקדשו החמירו יותר.</w:t>
      </w:r>
    </w:p>
  </w:footnote>
  <w:footnote w:id="712">
    <w:p w14:paraId="3EB6B8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712</w:t>
      </w:r>
      <w:r>
        <w:rPr>
          <w:rFonts w:ascii="David" w:hAnsi="David" w:cs="David"/>
          <w:sz w:val="24"/>
          <w:szCs w:val="24"/>
          <w:rtl/>
        </w:rPr>
        <w:t xml:space="preserve"> </w:t>
      </w:r>
      <w:r>
        <w:rPr>
          <w:rFonts w:ascii="David" w:hAnsi="David" w:cs="David"/>
          <w:color w:val="000000"/>
          <w:sz w:val="18"/>
          <w:szCs w:val="18"/>
          <w:rtl/>
        </w:rPr>
        <w:t>. תפא"י שם; חזו"א שם.</w:t>
      </w:r>
    </w:p>
  </w:footnote>
  <w:footnote w:id="713">
    <w:p w14:paraId="02DD5A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713</w:t>
      </w:r>
      <w:r>
        <w:rPr>
          <w:rFonts w:ascii="David" w:hAnsi="David" w:cs="David"/>
          <w:sz w:val="24"/>
          <w:szCs w:val="24"/>
          <w:rtl/>
        </w:rPr>
        <w:t xml:space="preserve"> </w:t>
      </w:r>
      <w:r>
        <w:rPr>
          <w:rFonts w:ascii="David" w:hAnsi="David" w:cs="David"/>
          <w:color w:val="000000"/>
          <w:sz w:val="18"/>
          <w:szCs w:val="18"/>
          <w:rtl/>
        </w:rPr>
        <w:t>. עי' ציון 751.</w:t>
      </w:r>
    </w:p>
  </w:footnote>
  <w:footnote w:id="714">
    <w:p w14:paraId="00E1326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714</w:t>
      </w:r>
      <w:r>
        <w:rPr>
          <w:rFonts w:ascii="David" w:hAnsi="David" w:cs="David"/>
          <w:sz w:val="24"/>
          <w:szCs w:val="24"/>
          <w:rtl/>
        </w:rPr>
        <w:t xml:space="preserve"> </w:t>
      </w:r>
      <w:r>
        <w:rPr>
          <w:rFonts w:ascii="David" w:hAnsi="David" w:cs="David"/>
          <w:color w:val="000000"/>
          <w:sz w:val="18"/>
          <w:szCs w:val="18"/>
          <w:rtl/>
        </w:rPr>
        <w:t>. תפא"י יכין שם פ"ט אות ב.</w:t>
      </w:r>
    </w:p>
  </w:footnote>
  <w:footnote w:id="715">
    <w:p w14:paraId="5A565F5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715</w:t>
      </w:r>
      <w:r>
        <w:rPr>
          <w:rFonts w:ascii="David" w:hAnsi="David" w:cs="David"/>
          <w:sz w:val="24"/>
          <w:szCs w:val="24"/>
          <w:rtl/>
        </w:rPr>
        <w:t xml:space="preserve"> </w:t>
      </w:r>
      <w:r>
        <w:rPr>
          <w:rFonts w:ascii="David" w:hAnsi="David" w:cs="David"/>
          <w:color w:val="000000"/>
          <w:sz w:val="18"/>
          <w:szCs w:val="18"/>
          <w:rtl/>
        </w:rPr>
        <w:t>. עי' חזו"א שם, וכעי"ז במשנ"א שם פ"ט מ"א ומ"ז, אלא שאע"פ שבתערובת במים המקודשים הצריך ר' אליעזר שתי הזאות, במים שאינם מקודשים א"צ, ודומה למיעוט אפר מקלה שנתערב ברוב אפר כשר, שהוא בטל לד' ר' אליעזר, ע"ע אפר חטאת שם.</w:t>
      </w:r>
    </w:p>
  </w:footnote>
  <w:footnote w:id="716">
    <w:p w14:paraId="3E95AF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716</w:t>
      </w:r>
      <w:r>
        <w:rPr>
          <w:rFonts w:ascii="David" w:hAnsi="David" w:cs="David"/>
          <w:sz w:val="24"/>
          <w:szCs w:val="24"/>
          <w:rtl/>
        </w:rPr>
        <w:t xml:space="preserve"> </w:t>
      </w:r>
      <w:r>
        <w:rPr>
          <w:rFonts w:ascii="David" w:hAnsi="David" w:cs="David"/>
          <w:color w:val="000000"/>
          <w:sz w:val="18"/>
          <w:szCs w:val="18"/>
          <w:rtl/>
        </w:rPr>
        <w:t>. עי' פרה פ"ו מ"ג. ושם שיכול לזלף עד שיגיע לספוג, וחזו"א שם סי' יב ס"ק י, שכנגד הספוג אין יכול לזלף אף מהצד, שעי"ז ייצא הבלוע בספוג, ושם בטעם שהזילוף מלמעלה מועיל, ואין אומרים שהמים מתערבים.</w:t>
      </w:r>
    </w:p>
  </w:footnote>
  <w:footnote w:id="717">
    <w:p w14:paraId="0F87031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717</w:t>
      </w:r>
      <w:r>
        <w:rPr>
          <w:rFonts w:ascii="David" w:hAnsi="David" w:cs="David"/>
          <w:sz w:val="24"/>
          <w:szCs w:val="24"/>
          <w:rtl/>
        </w:rPr>
        <w:t xml:space="preserve"> </w:t>
      </w:r>
      <w:r>
        <w:rPr>
          <w:rFonts w:ascii="David" w:hAnsi="David" w:cs="David"/>
          <w:color w:val="000000"/>
          <w:sz w:val="18"/>
          <w:szCs w:val="18"/>
          <w:rtl/>
        </w:rPr>
        <w:t>. ע"ע כלים ציון 2456 ואילך.</w:t>
      </w:r>
    </w:p>
  </w:footnote>
  <w:footnote w:id="718">
    <w:p w14:paraId="498EC0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718</w:t>
      </w:r>
      <w:r>
        <w:rPr>
          <w:rFonts w:ascii="David" w:hAnsi="David" w:cs="David"/>
          <w:sz w:val="24"/>
          <w:szCs w:val="24"/>
          <w:rtl/>
        </w:rPr>
        <w:t xml:space="preserve"> </w:t>
      </w:r>
      <w:r>
        <w:rPr>
          <w:rFonts w:ascii="David" w:hAnsi="David" w:cs="David"/>
          <w:color w:val="000000"/>
          <w:sz w:val="18"/>
          <w:szCs w:val="18"/>
          <w:rtl/>
        </w:rPr>
        <w:t>. עי' רש"י יומא נח א ד"ה זולף והולך, ומאירי שם; רע"ב שם.</w:t>
      </w:r>
    </w:p>
  </w:footnote>
  <w:footnote w:id="719">
    <w:p w14:paraId="048C45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719</w:t>
      </w:r>
      <w:r>
        <w:rPr>
          <w:rFonts w:ascii="David" w:hAnsi="David" w:cs="David"/>
          <w:sz w:val="24"/>
          <w:szCs w:val="24"/>
          <w:rtl/>
        </w:rPr>
        <w:t xml:space="preserve"> </w:t>
      </w:r>
      <w:r>
        <w:rPr>
          <w:rFonts w:ascii="David" w:hAnsi="David" w:cs="David"/>
          <w:color w:val="000000"/>
          <w:sz w:val="18"/>
          <w:szCs w:val="18"/>
          <w:rtl/>
        </w:rPr>
        <w:t>. ציון 740.</w:t>
      </w:r>
    </w:p>
  </w:footnote>
  <w:footnote w:id="720">
    <w:p w14:paraId="1441CE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720</w:t>
      </w:r>
      <w:r>
        <w:rPr>
          <w:rFonts w:ascii="David" w:hAnsi="David" w:cs="David"/>
          <w:sz w:val="24"/>
          <w:szCs w:val="24"/>
          <w:rtl/>
        </w:rPr>
        <w:t xml:space="preserve"> </w:t>
      </w:r>
      <w:r>
        <w:rPr>
          <w:rFonts w:ascii="David" w:hAnsi="David" w:cs="David"/>
          <w:color w:val="000000"/>
          <w:sz w:val="18"/>
          <w:szCs w:val="18"/>
          <w:rtl/>
        </w:rPr>
        <w:t>. עי' פרה פ"ה מ"ב, ור"ש ורע"ב ותפא"י שם; עי' פרה פ"ז מ"ח ור"ש שם, וחזו"א שם סי' ט ס"ק יד; עי' תוספ' ורמב"ם שבציונים 349, 373; עי' תוספתא שם פ"ה: מעיין היורד למכתשת וכו', ור"ש שם מ"ז, ועי' ציון 379; עי' ציונים 284, 378, 387, 779. ועי' ציונים 315, 349 ואילך, 374, שיש שכיון שאין פסולם מן הדין א"צ לנגב, ועי' חזו"א שם סי' יא ס"ק ו וי, בטעם שלא נפסלו בהיסה"ד. ועי' ציון 758. ועי' משנ"א שבציון 709, לשיטתו בציון הנ"ל, שמן הדין א"צ לנגב, כיון שאין כוונתו לבטל המים, אלא שכיון שאפשר בניגוב הצריכו ניגוב.</w:t>
      </w:r>
    </w:p>
  </w:footnote>
  <w:footnote w:id="721">
    <w:p w14:paraId="3B9629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721</w:t>
      </w:r>
      <w:r>
        <w:rPr>
          <w:rFonts w:ascii="David" w:hAnsi="David" w:cs="David"/>
          <w:sz w:val="24"/>
          <w:szCs w:val="24"/>
          <w:rtl/>
        </w:rPr>
        <w:t xml:space="preserve"> </w:t>
      </w:r>
      <w:r>
        <w:rPr>
          <w:rFonts w:ascii="David" w:hAnsi="David" w:cs="David"/>
          <w:color w:val="000000"/>
          <w:sz w:val="18"/>
          <w:szCs w:val="18"/>
          <w:rtl/>
        </w:rPr>
        <w:t>. עי' תפא"י שם פ"ט אות ב; עי' חזו"א סי' י שם. ועי' ציון הקודם.</w:t>
      </w:r>
    </w:p>
  </w:footnote>
  <w:footnote w:id="722">
    <w:p w14:paraId="0AB8DB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722</w:t>
      </w:r>
      <w:r>
        <w:rPr>
          <w:rFonts w:ascii="David" w:hAnsi="David" w:cs="David"/>
          <w:sz w:val="24"/>
          <w:szCs w:val="24"/>
          <w:rtl/>
        </w:rPr>
        <w:t xml:space="preserve"> </w:t>
      </w:r>
      <w:r>
        <w:rPr>
          <w:rFonts w:ascii="David" w:hAnsi="David" w:cs="David"/>
          <w:color w:val="000000"/>
          <w:sz w:val="18"/>
          <w:szCs w:val="18"/>
          <w:rtl/>
        </w:rPr>
        <w:t>. ועי' תפא"י בועז שם פ"ח אות ז. וצ"ב אם מים שבכלי אינם חשובים שנתערבו במעיין, או שלא פסלו בלא ניגוב, אלא כשאינו ממלא מתוך המעיין, אלא מהיוצא ממנו, או כשמערה מכלי לכלי, עי' לעיל ציון 244 ואילך.</w:t>
      </w:r>
    </w:p>
  </w:footnote>
  <w:footnote w:id="723">
    <w:p w14:paraId="70BB764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723</w:t>
      </w:r>
      <w:r>
        <w:rPr>
          <w:rFonts w:ascii="David" w:hAnsi="David" w:cs="David"/>
          <w:sz w:val="24"/>
          <w:szCs w:val="24"/>
          <w:rtl/>
        </w:rPr>
        <w:t xml:space="preserve"> </w:t>
      </w:r>
      <w:r>
        <w:rPr>
          <w:rFonts w:ascii="David" w:hAnsi="David" w:cs="David"/>
          <w:color w:val="000000"/>
          <w:sz w:val="18"/>
          <w:szCs w:val="18"/>
          <w:rtl/>
        </w:rPr>
        <w:t>. עי' פרה פ"ה מ"ב וג, ועי' מים טהורים ורש"ש שם פ"ט מ"א. ועי' ציון 1328.</w:t>
      </w:r>
    </w:p>
  </w:footnote>
  <w:footnote w:id="724">
    <w:p w14:paraId="62B459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724</w:t>
      </w:r>
      <w:r>
        <w:rPr>
          <w:rFonts w:ascii="David" w:hAnsi="David" w:cs="David"/>
          <w:sz w:val="24"/>
          <w:szCs w:val="24"/>
          <w:rtl/>
        </w:rPr>
        <w:t xml:space="preserve"> </w:t>
      </w:r>
      <w:r>
        <w:rPr>
          <w:rFonts w:ascii="David" w:hAnsi="David" w:cs="David"/>
          <w:color w:val="000000"/>
          <w:sz w:val="18"/>
          <w:szCs w:val="18"/>
          <w:rtl/>
        </w:rPr>
        <w:t>. עי' ציון 737 ואילך.</w:t>
      </w:r>
    </w:p>
  </w:footnote>
  <w:footnote w:id="725">
    <w:p w14:paraId="3BD4C5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725</w:t>
      </w:r>
      <w:r>
        <w:rPr>
          <w:rFonts w:ascii="David" w:hAnsi="David" w:cs="David"/>
          <w:sz w:val="24"/>
          <w:szCs w:val="24"/>
          <w:rtl/>
        </w:rPr>
        <w:t xml:space="preserve"> </w:t>
      </w:r>
      <w:r>
        <w:rPr>
          <w:rFonts w:ascii="David" w:hAnsi="David" w:cs="David"/>
          <w:color w:val="000000"/>
          <w:sz w:val="18"/>
          <w:szCs w:val="18"/>
          <w:rtl/>
        </w:rPr>
        <w:t>. רמב"ם פרה פ"ט ה"ח, ועי' להלן.</w:t>
      </w:r>
    </w:p>
  </w:footnote>
  <w:footnote w:id="726">
    <w:p w14:paraId="6CA24B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726</w:t>
      </w:r>
      <w:r>
        <w:rPr>
          <w:rFonts w:ascii="David" w:hAnsi="David" w:cs="David"/>
          <w:sz w:val="24"/>
          <w:szCs w:val="24"/>
          <w:rtl/>
        </w:rPr>
        <w:t xml:space="preserve"> </w:t>
      </w:r>
      <w:r>
        <w:rPr>
          <w:rFonts w:ascii="David" w:hAnsi="David" w:cs="David"/>
          <w:color w:val="000000"/>
          <w:sz w:val="18"/>
          <w:szCs w:val="18"/>
          <w:rtl/>
        </w:rPr>
        <w:t>. עי' ציונים 746 ואילך, 857 ואילך, וע"ע הזאה (ב) ציון 338 ואילך, ושם שי"ס שד' ר' אליעזר דלהלן, הוא כשלא נתערב אלא כדי הזאה אחת; עי' רמב"ם שם: כ"ש.</w:t>
      </w:r>
    </w:p>
  </w:footnote>
  <w:footnote w:id="727">
    <w:p w14:paraId="2948AA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727</w:t>
      </w:r>
      <w:r>
        <w:rPr>
          <w:rFonts w:ascii="David" w:hAnsi="David" w:cs="David"/>
          <w:sz w:val="24"/>
          <w:szCs w:val="24"/>
          <w:rtl/>
        </w:rPr>
        <w:t xml:space="preserve"> </w:t>
      </w:r>
      <w:r>
        <w:rPr>
          <w:rFonts w:ascii="David" w:hAnsi="David" w:cs="David"/>
          <w:color w:val="000000"/>
          <w:sz w:val="18"/>
          <w:szCs w:val="18"/>
          <w:rtl/>
        </w:rPr>
        <w:t>. עי' ציונים 43, 77, אבל אפשר שדוקא כשנפלו קודם קידוש, ועי' ציון 709. ועי' ציונים 82, 1192.</w:t>
      </w:r>
    </w:p>
  </w:footnote>
  <w:footnote w:id="728">
    <w:p w14:paraId="63CE631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728</w:t>
      </w:r>
      <w:r>
        <w:rPr>
          <w:rFonts w:ascii="David" w:hAnsi="David" w:cs="David"/>
          <w:sz w:val="24"/>
          <w:szCs w:val="24"/>
          <w:rtl/>
        </w:rPr>
        <w:t xml:space="preserve"> </w:t>
      </w:r>
      <w:r>
        <w:rPr>
          <w:rFonts w:ascii="David" w:hAnsi="David" w:cs="David"/>
          <w:color w:val="000000"/>
          <w:sz w:val="18"/>
          <w:szCs w:val="18"/>
          <w:rtl/>
        </w:rPr>
        <w:t>. ציון 346 ואילך.</w:t>
      </w:r>
    </w:p>
  </w:footnote>
  <w:footnote w:id="729">
    <w:p w14:paraId="7FBCBF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729</w:t>
      </w:r>
      <w:r>
        <w:rPr>
          <w:rFonts w:ascii="David" w:hAnsi="David" w:cs="David"/>
          <w:sz w:val="24"/>
          <w:szCs w:val="24"/>
          <w:rtl/>
        </w:rPr>
        <w:t xml:space="preserve"> </w:t>
      </w:r>
      <w:r>
        <w:rPr>
          <w:rFonts w:ascii="David" w:hAnsi="David" w:cs="David"/>
          <w:color w:val="000000"/>
          <w:sz w:val="18"/>
          <w:szCs w:val="18"/>
          <w:rtl/>
        </w:rPr>
        <w:t>. ע"ע בילה: בלח.</w:t>
      </w:r>
    </w:p>
  </w:footnote>
  <w:footnote w:id="730">
    <w:p w14:paraId="0705B08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730</w:t>
      </w:r>
      <w:r>
        <w:rPr>
          <w:rFonts w:ascii="David" w:hAnsi="David" w:cs="David"/>
          <w:sz w:val="24"/>
          <w:szCs w:val="24"/>
          <w:rtl/>
        </w:rPr>
        <w:t xml:space="preserve"> </w:t>
      </w:r>
      <w:r>
        <w:rPr>
          <w:rFonts w:ascii="David" w:hAnsi="David" w:cs="David"/>
          <w:color w:val="000000"/>
          <w:sz w:val="18"/>
          <w:szCs w:val="18"/>
          <w:rtl/>
        </w:rPr>
        <w:t>. זבחים פ א ורש"י.</w:t>
      </w:r>
    </w:p>
  </w:footnote>
  <w:footnote w:id="731">
    <w:p w14:paraId="00529E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731</w:t>
      </w:r>
      <w:r>
        <w:rPr>
          <w:rFonts w:ascii="David" w:hAnsi="David" w:cs="David"/>
          <w:sz w:val="24"/>
          <w:szCs w:val="24"/>
          <w:rtl/>
        </w:rPr>
        <w:t xml:space="preserve"> </w:t>
      </w:r>
      <w:r>
        <w:rPr>
          <w:rFonts w:ascii="David" w:hAnsi="David" w:cs="David"/>
          <w:color w:val="000000"/>
          <w:sz w:val="18"/>
          <w:szCs w:val="18"/>
          <w:rtl/>
        </w:rPr>
        <w:t>. רש"י שם ד"ה קסברי.</w:t>
      </w:r>
    </w:p>
  </w:footnote>
  <w:footnote w:id="732">
    <w:p w14:paraId="7C859B6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732</w:t>
      </w:r>
      <w:r>
        <w:rPr>
          <w:rFonts w:ascii="David" w:hAnsi="David" w:cs="David"/>
          <w:sz w:val="24"/>
          <w:szCs w:val="24"/>
          <w:rtl/>
        </w:rPr>
        <w:t xml:space="preserve"> </w:t>
      </w:r>
      <w:r>
        <w:rPr>
          <w:rFonts w:ascii="David" w:hAnsi="David" w:cs="David"/>
          <w:color w:val="000000"/>
          <w:sz w:val="18"/>
          <w:szCs w:val="18"/>
          <w:rtl/>
        </w:rPr>
        <w:t>. ע"ע הזאה (ב) ציון 342.</w:t>
      </w:r>
    </w:p>
  </w:footnote>
  <w:footnote w:id="733">
    <w:p w14:paraId="2CA8B4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733</w:t>
      </w:r>
      <w:r>
        <w:rPr>
          <w:rFonts w:ascii="David" w:hAnsi="David" w:cs="David"/>
          <w:sz w:val="24"/>
          <w:szCs w:val="24"/>
          <w:rtl/>
        </w:rPr>
        <w:t xml:space="preserve"> </w:t>
      </w:r>
      <w:r>
        <w:rPr>
          <w:rFonts w:ascii="David" w:hAnsi="David" w:cs="David"/>
          <w:color w:val="000000"/>
          <w:sz w:val="18"/>
          <w:szCs w:val="18"/>
          <w:rtl/>
        </w:rPr>
        <w:t>. קר"א זבחים שם וחזו"א פרה סי' ט ס"ק טז, בד' רמב"ם שם שפסק כחכמים, אף על פי שלדעתו הזאה א"צ שיעור, ע"ע הנ"ל שם, ועי' להלן ציון 750, ועי' חזו"א שם סי' י ס"ק יא וסי' יג ס"ק ח. ועי' תפא"י פרה פ"ט בועז אות ב, שהחמירו חכמים שלא תועיל הזאה בתערובת בלא שיעור. וע"ע הנ"ל ציון 345, שי"מ באופ"א, ועי' משנ"א ומים טהורים פרה שם.</w:t>
      </w:r>
    </w:p>
  </w:footnote>
  <w:footnote w:id="734">
    <w:p w14:paraId="5F2E50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734</w:t>
      </w:r>
      <w:r>
        <w:rPr>
          <w:rFonts w:ascii="David" w:hAnsi="David" w:cs="David"/>
          <w:sz w:val="24"/>
          <w:szCs w:val="24"/>
          <w:rtl/>
        </w:rPr>
        <w:t xml:space="preserve"> </w:t>
      </w:r>
      <w:r>
        <w:rPr>
          <w:rFonts w:ascii="David" w:hAnsi="David" w:cs="David"/>
          <w:color w:val="000000"/>
          <w:sz w:val="18"/>
          <w:szCs w:val="18"/>
          <w:rtl/>
        </w:rPr>
        <w:t>. חזו"נ ומים טהורים חרד"ן פרה שם, בד' רמב"ם שם, ע"פ ד' רבא בזבחים שם. ועי' חזו"נ שם מ"ח.</w:t>
      </w:r>
    </w:p>
  </w:footnote>
  <w:footnote w:id="735">
    <w:p w14:paraId="0EE396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735</w:t>
      </w:r>
      <w:r>
        <w:rPr>
          <w:rFonts w:ascii="David" w:hAnsi="David" w:cs="David"/>
          <w:sz w:val="24"/>
          <w:szCs w:val="24"/>
          <w:rtl/>
        </w:rPr>
        <w:t xml:space="preserve"> </w:t>
      </w:r>
      <w:r>
        <w:rPr>
          <w:rFonts w:ascii="David" w:hAnsi="David" w:cs="David"/>
          <w:color w:val="000000"/>
          <w:sz w:val="18"/>
          <w:szCs w:val="18"/>
          <w:rtl/>
        </w:rPr>
        <w:t>. רע"ב שם מ"א.</w:t>
      </w:r>
    </w:p>
  </w:footnote>
  <w:footnote w:id="736">
    <w:p w14:paraId="4C107BE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736</w:t>
      </w:r>
      <w:r>
        <w:rPr>
          <w:rFonts w:ascii="David" w:hAnsi="David" w:cs="David"/>
          <w:sz w:val="24"/>
          <w:szCs w:val="24"/>
          <w:rtl/>
        </w:rPr>
        <w:t xml:space="preserve"> </w:t>
      </w:r>
      <w:r>
        <w:rPr>
          <w:rFonts w:ascii="David" w:hAnsi="David" w:cs="David"/>
          <w:color w:val="000000"/>
          <w:sz w:val="18"/>
          <w:szCs w:val="18"/>
          <w:rtl/>
        </w:rPr>
        <w:t>. תפא"י שם אות ב.</w:t>
      </w:r>
    </w:p>
  </w:footnote>
  <w:footnote w:id="737">
    <w:p w14:paraId="2F6DD5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737</w:t>
      </w:r>
      <w:r>
        <w:rPr>
          <w:rFonts w:ascii="David" w:hAnsi="David" w:cs="David"/>
          <w:sz w:val="24"/>
          <w:szCs w:val="24"/>
          <w:rtl/>
        </w:rPr>
        <w:t xml:space="preserve"> </w:t>
      </w:r>
      <w:r>
        <w:rPr>
          <w:rFonts w:ascii="David" w:hAnsi="David" w:cs="David"/>
          <w:color w:val="000000"/>
          <w:sz w:val="18"/>
          <w:szCs w:val="18"/>
          <w:rtl/>
        </w:rPr>
        <w:t>. משנה שם, ועי' תוספ' פרה פ"ט.</w:t>
      </w:r>
    </w:p>
  </w:footnote>
  <w:footnote w:id="738">
    <w:p w14:paraId="23975EF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738</w:t>
      </w:r>
      <w:r>
        <w:rPr>
          <w:rFonts w:ascii="David" w:hAnsi="David" w:cs="David"/>
          <w:sz w:val="24"/>
          <w:szCs w:val="24"/>
          <w:rtl/>
        </w:rPr>
        <w:t xml:space="preserve"> </w:t>
      </w:r>
      <w:r>
        <w:rPr>
          <w:rFonts w:ascii="David" w:hAnsi="David" w:cs="David"/>
          <w:color w:val="000000"/>
          <w:sz w:val="18"/>
          <w:szCs w:val="18"/>
          <w:rtl/>
        </w:rPr>
        <w:t>. עי' פרה פ"ו מ"ג.</w:t>
      </w:r>
    </w:p>
  </w:footnote>
  <w:footnote w:id="739">
    <w:p w14:paraId="0123C24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739</w:t>
      </w:r>
      <w:r>
        <w:rPr>
          <w:rFonts w:ascii="David" w:hAnsi="David" w:cs="David"/>
          <w:sz w:val="24"/>
          <w:szCs w:val="24"/>
          <w:rtl/>
        </w:rPr>
        <w:t xml:space="preserve"> </w:t>
      </w:r>
      <w:r>
        <w:rPr>
          <w:rFonts w:ascii="David" w:hAnsi="David" w:cs="David"/>
          <w:color w:val="000000"/>
          <w:sz w:val="18"/>
          <w:szCs w:val="18"/>
          <w:rtl/>
        </w:rPr>
        <w:t>. עי' ציונים 704, 707.</w:t>
      </w:r>
    </w:p>
  </w:footnote>
  <w:footnote w:id="740">
    <w:p w14:paraId="53E0609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740</w:t>
      </w:r>
      <w:r>
        <w:rPr>
          <w:rFonts w:ascii="David" w:hAnsi="David" w:cs="David"/>
          <w:sz w:val="24"/>
          <w:szCs w:val="24"/>
          <w:rtl/>
        </w:rPr>
        <w:t xml:space="preserve"> </w:t>
      </w:r>
      <w:r>
        <w:rPr>
          <w:rFonts w:ascii="David" w:hAnsi="David" w:cs="David"/>
          <w:color w:val="000000"/>
          <w:sz w:val="18"/>
          <w:szCs w:val="18"/>
          <w:rtl/>
        </w:rPr>
        <w:t>. פהמ"ש לרמב"ם שם, ורמב"ם פרה פ"ט ה"ה וכס"מ שם; ר"ש שם.</w:t>
      </w:r>
    </w:p>
  </w:footnote>
  <w:footnote w:id="741">
    <w:p w14:paraId="61E5D83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741</w:t>
      </w:r>
      <w:r>
        <w:rPr>
          <w:rFonts w:ascii="David" w:hAnsi="David" w:cs="David"/>
          <w:sz w:val="24"/>
          <w:szCs w:val="24"/>
          <w:rtl/>
        </w:rPr>
        <w:t xml:space="preserve"> </w:t>
      </w:r>
      <w:r>
        <w:rPr>
          <w:rFonts w:ascii="David" w:hAnsi="David" w:cs="David"/>
          <w:color w:val="000000"/>
          <w:sz w:val="18"/>
          <w:szCs w:val="18"/>
          <w:rtl/>
        </w:rPr>
        <w:t>. ציון 718. ולכאו' גם לדעתם נפסל אף בשעת קידוש.</w:t>
      </w:r>
    </w:p>
  </w:footnote>
  <w:footnote w:id="742">
    <w:p w14:paraId="49A5BCF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742</w:t>
      </w:r>
      <w:r>
        <w:rPr>
          <w:rFonts w:ascii="David" w:hAnsi="David" w:cs="David"/>
          <w:sz w:val="24"/>
          <w:szCs w:val="24"/>
          <w:rtl/>
        </w:rPr>
        <w:t xml:space="preserve"> </w:t>
      </w:r>
      <w:r>
        <w:rPr>
          <w:rFonts w:ascii="David" w:hAnsi="David" w:cs="David"/>
          <w:color w:val="000000"/>
          <w:sz w:val="18"/>
          <w:szCs w:val="18"/>
          <w:rtl/>
        </w:rPr>
        <w:t>. ע"ע אזוב ציון 19.</w:t>
      </w:r>
    </w:p>
  </w:footnote>
  <w:footnote w:id="743">
    <w:p w14:paraId="764ED53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743</w:t>
      </w:r>
      <w:r>
        <w:rPr>
          <w:rFonts w:ascii="David" w:hAnsi="David" w:cs="David"/>
          <w:sz w:val="24"/>
          <w:szCs w:val="24"/>
          <w:rtl/>
        </w:rPr>
        <w:t xml:space="preserve"> </w:t>
      </w:r>
      <w:r>
        <w:rPr>
          <w:rFonts w:ascii="David" w:hAnsi="David" w:cs="David"/>
          <w:color w:val="000000"/>
          <w:sz w:val="18"/>
          <w:szCs w:val="18"/>
          <w:rtl/>
        </w:rPr>
        <w:t>. פרה פי"א מ"ח; רמב"ם פרה פי"א ה"ז. ועי' בהגר"א לתוספ' פרה פי"ב ה"ב, באזוב שנפסלו המים שעליו, ועי' חזו"א שם סי' טו ס"ק ג וציון 84.</w:t>
      </w:r>
    </w:p>
  </w:footnote>
  <w:footnote w:id="744">
    <w:p w14:paraId="4955E95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744</w:t>
      </w:r>
      <w:r>
        <w:rPr>
          <w:rFonts w:ascii="David" w:hAnsi="David" w:cs="David"/>
          <w:sz w:val="24"/>
          <w:szCs w:val="24"/>
          <w:rtl/>
        </w:rPr>
        <w:t xml:space="preserve"> </w:t>
      </w:r>
      <w:r>
        <w:rPr>
          <w:rFonts w:ascii="David" w:hAnsi="David" w:cs="David"/>
          <w:color w:val="000000"/>
          <w:sz w:val="18"/>
          <w:szCs w:val="18"/>
          <w:rtl/>
        </w:rPr>
        <w:t>. רע"ב שם; ר"ש שם.</w:t>
      </w:r>
    </w:p>
  </w:footnote>
  <w:footnote w:id="745">
    <w:p w14:paraId="7FE5399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745</w:t>
      </w:r>
      <w:r>
        <w:rPr>
          <w:rFonts w:ascii="David" w:hAnsi="David" w:cs="David"/>
          <w:sz w:val="24"/>
          <w:szCs w:val="24"/>
          <w:rtl/>
        </w:rPr>
        <w:t xml:space="preserve"> </w:t>
      </w:r>
      <w:r>
        <w:rPr>
          <w:rFonts w:ascii="David" w:hAnsi="David" w:cs="David"/>
          <w:color w:val="000000"/>
          <w:sz w:val="18"/>
          <w:szCs w:val="18"/>
          <w:rtl/>
        </w:rPr>
        <w:t>. ציונים 760 ואילך, 825 ואילך.</w:t>
      </w:r>
    </w:p>
  </w:footnote>
  <w:footnote w:id="746">
    <w:p w14:paraId="17E0572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746</w:t>
      </w:r>
      <w:r>
        <w:rPr>
          <w:rFonts w:ascii="David" w:hAnsi="David" w:cs="David"/>
          <w:sz w:val="24"/>
          <w:szCs w:val="24"/>
          <w:rtl/>
        </w:rPr>
        <w:t xml:space="preserve"> </w:t>
      </w:r>
      <w:r>
        <w:rPr>
          <w:rFonts w:ascii="David" w:hAnsi="David" w:cs="David"/>
          <w:color w:val="000000"/>
          <w:sz w:val="18"/>
          <w:szCs w:val="18"/>
          <w:rtl/>
        </w:rPr>
        <w:t>. עי' ריב"א בשמ"ק (מזבח כפרה) זבחים עט ב; עי' קר"א שם; עי' עולת שלמה שם פ א, ע"פ עונג יום טוב סי' ד. ועי' כעי"ז בחזו"א סי' ט שם לצד זה. ועי' ציון 710. וע"ע בטול ברוב: בהשלמה לשיעור. ועי' להלן.</w:t>
      </w:r>
    </w:p>
  </w:footnote>
  <w:footnote w:id="747">
    <w:p w14:paraId="147BB38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747</w:t>
      </w:r>
      <w:r>
        <w:rPr>
          <w:rFonts w:ascii="David" w:hAnsi="David" w:cs="David"/>
          <w:sz w:val="24"/>
          <w:szCs w:val="24"/>
          <w:rtl/>
        </w:rPr>
        <w:t xml:space="preserve"> </w:t>
      </w:r>
      <w:r>
        <w:rPr>
          <w:rFonts w:ascii="David" w:hAnsi="David" w:cs="David"/>
          <w:color w:val="000000"/>
          <w:sz w:val="18"/>
          <w:szCs w:val="18"/>
          <w:rtl/>
        </w:rPr>
        <w:t>. תוס' שם עט ב ד"ה תנן; תרה"ד סי' רס. ועי' משנ"א ושהם וישפה וחזו"א שבציון 1288 ואילך.</w:t>
      </w:r>
    </w:p>
  </w:footnote>
  <w:footnote w:id="748">
    <w:p w14:paraId="68A420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748</w:t>
      </w:r>
      <w:r>
        <w:rPr>
          <w:rFonts w:ascii="David" w:hAnsi="David" w:cs="David"/>
          <w:sz w:val="24"/>
          <w:szCs w:val="24"/>
          <w:rtl/>
        </w:rPr>
        <w:t xml:space="preserve"> </w:t>
      </w:r>
      <w:r>
        <w:rPr>
          <w:rFonts w:ascii="David" w:hAnsi="David" w:cs="David"/>
          <w:color w:val="000000"/>
          <w:sz w:val="18"/>
          <w:szCs w:val="18"/>
          <w:rtl/>
        </w:rPr>
        <w:t>. ע"ע בילה, שם.</w:t>
      </w:r>
    </w:p>
  </w:footnote>
  <w:footnote w:id="749">
    <w:p w14:paraId="7B765D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749</w:t>
      </w:r>
      <w:r>
        <w:rPr>
          <w:rFonts w:ascii="David" w:hAnsi="David" w:cs="David"/>
          <w:sz w:val="24"/>
          <w:szCs w:val="24"/>
          <w:rtl/>
        </w:rPr>
        <w:t xml:space="preserve"> </w:t>
      </w:r>
      <w:r>
        <w:rPr>
          <w:rFonts w:ascii="David" w:hAnsi="David" w:cs="David"/>
          <w:color w:val="000000"/>
          <w:sz w:val="18"/>
          <w:szCs w:val="18"/>
          <w:rtl/>
        </w:rPr>
        <w:t>. ע"ע רוב. עולת שלמה שם פ א. וע"ש שנ"מ אף אם יש בילה, במה שאמרו שם שאף אם הזאות מצטרפות, מי יימר דמלא ליה שיעורא, ומה"ת מדין רוב יש לתלות שהיזה מן הכשר.</w:t>
      </w:r>
    </w:p>
  </w:footnote>
  <w:footnote w:id="750">
    <w:p w14:paraId="06E8AD6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750</w:t>
      </w:r>
      <w:r>
        <w:rPr>
          <w:rFonts w:ascii="David" w:hAnsi="David" w:cs="David"/>
          <w:sz w:val="24"/>
          <w:szCs w:val="24"/>
          <w:rtl/>
        </w:rPr>
        <w:t xml:space="preserve"> </w:t>
      </w:r>
      <w:r>
        <w:rPr>
          <w:rFonts w:ascii="David" w:hAnsi="David" w:cs="David"/>
          <w:color w:val="000000"/>
          <w:sz w:val="18"/>
          <w:szCs w:val="18"/>
          <w:rtl/>
        </w:rPr>
        <w:t>. עי' קר"א וחזו"א שבציון 733. ועי' חזו"א שם סי' טו ס"ק ד וה וציון 782, שבכמה אופנים לא החמירו בתערובת, מחמת שהוא חומרא.</w:t>
      </w:r>
    </w:p>
  </w:footnote>
  <w:footnote w:id="751">
    <w:p w14:paraId="275007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751</w:t>
      </w:r>
      <w:r>
        <w:rPr>
          <w:rFonts w:ascii="David" w:hAnsi="David" w:cs="David"/>
          <w:sz w:val="24"/>
          <w:szCs w:val="24"/>
          <w:rtl/>
        </w:rPr>
        <w:t xml:space="preserve"> </w:t>
      </w:r>
      <w:r>
        <w:rPr>
          <w:rFonts w:ascii="David" w:hAnsi="David" w:cs="David"/>
          <w:color w:val="000000"/>
          <w:sz w:val="18"/>
          <w:szCs w:val="18"/>
          <w:rtl/>
        </w:rPr>
        <w:t>. עי' פרה פ"ט מ"א.</w:t>
      </w:r>
    </w:p>
  </w:footnote>
  <w:footnote w:id="752">
    <w:p w14:paraId="444177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752</w:t>
      </w:r>
      <w:r>
        <w:rPr>
          <w:rFonts w:ascii="David" w:hAnsi="David" w:cs="David"/>
          <w:sz w:val="24"/>
          <w:szCs w:val="24"/>
          <w:rtl/>
        </w:rPr>
        <w:t xml:space="preserve"> </w:t>
      </w:r>
      <w:r>
        <w:rPr>
          <w:rFonts w:ascii="David" w:hAnsi="David" w:cs="David"/>
          <w:color w:val="000000"/>
          <w:sz w:val="18"/>
          <w:szCs w:val="18"/>
          <w:rtl/>
        </w:rPr>
        <w:t>. ציון 337 ואילך.</w:t>
      </w:r>
    </w:p>
  </w:footnote>
  <w:footnote w:id="753">
    <w:p w14:paraId="1E90F1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753</w:t>
      </w:r>
      <w:r>
        <w:rPr>
          <w:rFonts w:ascii="David" w:hAnsi="David" w:cs="David"/>
          <w:sz w:val="24"/>
          <w:szCs w:val="24"/>
          <w:rtl/>
        </w:rPr>
        <w:t xml:space="preserve"> </w:t>
      </w:r>
      <w:r>
        <w:rPr>
          <w:rFonts w:ascii="David" w:hAnsi="David" w:cs="David"/>
          <w:color w:val="000000"/>
          <w:sz w:val="18"/>
          <w:szCs w:val="18"/>
          <w:rtl/>
        </w:rPr>
        <w:t>. עי' לעיל מח' חכמים ור"א אם פסולה לגמרי, או שמועיל אם יזה ב' פעמים. עי' בהגר"א לתוספתא פרה פ"ו, וחזו"א פרה סי' יא ס"ק יג, בדעתו, ועי' ציון הבא. וכ"נ בתפא"י שבציון 658.</w:t>
      </w:r>
    </w:p>
  </w:footnote>
  <w:footnote w:id="754">
    <w:p w14:paraId="397EBA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754</w:t>
      </w:r>
      <w:r>
        <w:rPr>
          <w:rFonts w:ascii="David" w:hAnsi="David" w:cs="David"/>
          <w:sz w:val="24"/>
          <w:szCs w:val="24"/>
          <w:rtl/>
        </w:rPr>
        <w:t xml:space="preserve"> </w:t>
      </w:r>
      <w:r>
        <w:rPr>
          <w:rFonts w:ascii="David" w:hAnsi="David" w:cs="David"/>
          <w:color w:val="000000"/>
          <w:sz w:val="18"/>
          <w:szCs w:val="18"/>
          <w:rtl/>
        </w:rPr>
        <w:t>. בהגר"א שם, בביאור תוספתא שם שבציון 625. ועי' חזו"א שם שתמה.</w:t>
      </w:r>
    </w:p>
  </w:footnote>
  <w:footnote w:id="755">
    <w:p w14:paraId="4DB480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755</w:t>
      </w:r>
      <w:r>
        <w:rPr>
          <w:rFonts w:ascii="David" w:hAnsi="David" w:cs="David"/>
          <w:sz w:val="24"/>
          <w:szCs w:val="24"/>
          <w:rtl/>
        </w:rPr>
        <w:t xml:space="preserve"> </w:t>
      </w:r>
      <w:r>
        <w:rPr>
          <w:rFonts w:ascii="David" w:hAnsi="David" w:cs="David"/>
          <w:color w:val="000000"/>
          <w:sz w:val="18"/>
          <w:szCs w:val="18"/>
          <w:rtl/>
        </w:rPr>
        <w:t>. חזו"א שם, ע"פ תוספתא שם. ועי' ציון 709.</w:t>
      </w:r>
    </w:p>
  </w:footnote>
  <w:footnote w:id="756">
    <w:p w14:paraId="20BB51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756</w:t>
      </w:r>
      <w:r>
        <w:rPr>
          <w:rFonts w:ascii="David" w:hAnsi="David" w:cs="David"/>
          <w:sz w:val="24"/>
          <w:szCs w:val="24"/>
          <w:rtl/>
        </w:rPr>
        <w:t xml:space="preserve"> </w:t>
      </w:r>
      <w:r>
        <w:rPr>
          <w:rFonts w:ascii="David" w:hAnsi="David" w:cs="David"/>
          <w:color w:val="000000"/>
          <w:sz w:val="18"/>
          <w:szCs w:val="18"/>
          <w:rtl/>
        </w:rPr>
        <w:t>. עי' ציון 724 ואילך.</w:t>
      </w:r>
    </w:p>
  </w:footnote>
  <w:footnote w:id="757">
    <w:p w14:paraId="4D1FBA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757</w:t>
      </w:r>
      <w:r>
        <w:rPr>
          <w:rFonts w:ascii="David" w:hAnsi="David" w:cs="David"/>
          <w:sz w:val="24"/>
          <w:szCs w:val="24"/>
          <w:rtl/>
        </w:rPr>
        <w:t xml:space="preserve"> </w:t>
      </w:r>
      <w:r>
        <w:rPr>
          <w:rFonts w:ascii="David" w:hAnsi="David" w:cs="David"/>
          <w:color w:val="000000"/>
          <w:sz w:val="18"/>
          <w:szCs w:val="18"/>
          <w:rtl/>
        </w:rPr>
        <w:t>. חזו"א שם.</w:t>
      </w:r>
    </w:p>
  </w:footnote>
  <w:footnote w:id="758">
    <w:p w14:paraId="553270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758</w:t>
      </w:r>
      <w:r>
        <w:rPr>
          <w:rFonts w:ascii="David" w:hAnsi="David" w:cs="David"/>
          <w:sz w:val="24"/>
          <w:szCs w:val="24"/>
          <w:rtl/>
        </w:rPr>
        <w:t xml:space="preserve"> </w:t>
      </w:r>
      <w:r>
        <w:rPr>
          <w:rFonts w:ascii="David" w:hAnsi="David" w:cs="David"/>
          <w:color w:val="000000"/>
          <w:sz w:val="18"/>
          <w:szCs w:val="18"/>
          <w:rtl/>
        </w:rPr>
        <w:t>. עי' להלן וציון 802 ואילך, ועי' ציון 720. ועי' ציון 1192.</w:t>
      </w:r>
    </w:p>
  </w:footnote>
  <w:footnote w:id="759">
    <w:p w14:paraId="0B2112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759</w:t>
      </w:r>
      <w:r>
        <w:rPr>
          <w:rFonts w:ascii="David" w:hAnsi="David" w:cs="David"/>
          <w:sz w:val="24"/>
          <w:szCs w:val="24"/>
          <w:rtl/>
        </w:rPr>
        <w:t xml:space="preserve"> </w:t>
      </w:r>
      <w:r>
        <w:rPr>
          <w:rFonts w:ascii="David" w:hAnsi="David" w:cs="David"/>
          <w:color w:val="000000"/>
          <w:sz w:val="18"/>
          <w:szCs w:val="18"/>
          <w:rtl/>
        </w:rPr>
        <w:t>. חזו"א פרה סי' י ס"ק יא.</w:t>
      </w:r>
    </w:p>
  </w:footnote>
  <w:footnote w:id="760">
    <w:p w14:paraId="0ED06DA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760</w:t>
      </w:r>
      <w:r>
        <w:rPr>
          <w:rFonts w:ascii="David" w:hAnsi="David" w:cs="David"/>
          <w:sz w:val="24"/>
          <w:szCs w:val="24"/>
          <w:rtl/>
        </w:rPr>
        <w:t xml:space="preserve"> </w:t>
      </w:r>
      <w:r>
        <w:rPr>
          <w:rFonts w:ascii="David" w:hAnsi="David" w:cs="David"/>
          <w:color w:val="000000"/>
          <w:sz w:val="18"/>
          <w:szCs w:val="18"/>
          <w:rtl/>
        </w:rPr>
        <w:t>. עי' פרה פ"ה מ"ב, ופהמ"ש לרמב"ם ור"ש ורע"ב שם; עי' רמב"ם פרה פ"ט ה"ט.</w:t>
      </w:r>
    </w:p>
  </w:footnote>
  <w:footnote w:id="761">
    <w:p w14:paraId="6D0B8A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761</w:t>
      </w:r>
      <w:r>
        <w:rPr>
          <w:rFonts w:ascii="David" w:hAnsi="David" w:cs="David"/>
          <w:sz w:val="24"/>
          <w:szCs w:val="24"/>
          <w:rtl/>
        </w:rPr>
        <w:t xml:space="preserve"> </w:t>
      </w:r>
      <w:r>
        <w:rPr>
          <w:rFonts w:ascii="David" w:hAnsi="David" w:cs="David"/>
          <w:color w:val="000000"/>
          <w:sz w:val="18"/>
          <w:szCs w:val="18"/>
          <w:rtl/>
        </w:rPr>
        <w:t>. ציון 623.</w:t>
      </w:r>
    </w:p>
  </w:footnote>
  <w:footnote w:id="762">
    <w:p w14:paraId="6ED6642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762</w:t>
      </w:r>
      <w:r>
        <w:rPr>
          <w:rFonts w:ascii="David" w:hAnsi="David" w:cs="David"/>
          <w:sz w:val="24"/>
          <w:szCs w:val="24"/>
          <w:rtl/>
        </w:rPr>
        <w:t xml:space="preserve"> </w:t>
      </w:r>
      <w:r>
        <w:rPr>
          <w:rFonts w:ascii="David" w:hAnsi="David" w:cs="David"/>
          <w:color w:val="000000"/>
          <w:sz w:val="18"/>
          <w:szCs w:val="18"/>
          <w:rtl/>
        </w:rPr>
        <w:t>. עי' ציון 812.</w:t>
      </w:r>
    </w:p>
  </w:footnote>
  <w:footnote w:id="763">
    <w:p w14:paraId="31CD10C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763</w:t>
      </w:r>
      <w:r>
        <w:rPr>
          <w:rFonts w:ascii="David" w:hAnsi="David" w:cs="David"/>
          <w:sz w:val="24"/>
          <w:szCs w:val="24"/>
          <w:rtl/>
        </w:rPr>
        <w:t xml:space="preserve"> </w:t>
      </w:r>
      <w:r>
        <w:rPr>
          <w:rFonts w:ascii="David" w:hAnsi="David" w:cs="David"/>
          <w:color w:val="000000"/>
          <w:sz w:val="18"/>
          <w:szCs w:val="18"/>
          <w:rtl/>
        </w:rPr>
        <w:t>. עי' פרה פ"ט מ"א ורע"ב; רמב"ם שם ה"ח. ועי' חזו"א שם סי' יג ס"ק ט, שאע"פ שמראיהם משונה ממים, אפשר שנשאר משהו ואינו ניכר.</w:t>
      </w:r>
    </w:p>
  </w:footnote>
  <w:footnote w:id="764">
    <w:p w14:paraId="230A39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764</w:t>
      </w:r>
      <w:r>
        <w:rPr>
          <w:rFonts w:ascii="David" w:hAnsi="David" w:cs="David"/>
          <w:sz w:val="24"/>
          <w:szCs w:val="24"/>
          <w:rtl/>
        </w:rPr>
        <w:t xml:space="preserve"> </w:t>
      </w:r>
      <w:r>
        <w:rPr>
          <w:rFonts w:ascii="David" w:hAnsi="David" w:cs="David"/>
          <w:color w:val="000000"/>
          <w:sz w:val="18"/>
          <w:szCs w:val="18"/>
          <w:rtl/>
        </w:rPr>
        <w:t>. עי' ציון הנ"ל, ושם שי"מ בע"א.</w:t>
      </w:r>
    </w:p>
  </w:footnote>
  <w:footnote w:id="765">
    <w:p w14:paraId="5A5A2E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765</w:t>
      </w:r>
      <w:r>
        <w:rPr>
          <w:rFonts w:ascii="David" w:hAnsi="David" w:cs="David"/>
          <w:sz w:val="24"/>
          <w:szCs w:val="24"/>
          <w:rtl/>
        </w:rPr>
        <w:t xml:space="preserve"> </w:t>
      </w:r>
      <w:r>
        <w:rPr>
          <w:rFonts w:ascii="David" w:hAnsi="David" w:cs="David"/>
          <w:color w:val="000000"/>
          <w:sz w:val="18"/>
          <w:szCs w:val="18"/>
          <w:rtl/>
        </w:rPr>
        <w:t>. משנה שם; רמב"ם שם.</w:t>
      </w:r>
    </w:p>
  </w:footnote>
  <w:footnote w:id="766">
    <w:p w14:paraId="50B970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766</w:t>
      </w:r>
      <w:r>
        <w:rPr>
          <w:rFonts w:ascii="David" w:hAnsi="David" w:cs="David"/>
          <w:sz w:val="24"/>
          <w:szCs w:val="24"/>
          <w:rtl/>
        </w:rPr>
        <w:t xml:space="preserve"> </w:t>
      </w:r>
      <w:r>
        <w:rPr>
          <w:rFonts w:ascii="David" w:hAnsi="David" w:cs="David"/>
          <w:color w:val="000000"/>
          <w:sz w:val="18"/>
          <w:szCs w:val="18"/>
          <w:rtl/>
        </w:rPr>
        <w:t>. עי' להלן; פהמ"ש לרמב"ם שם, ושם שה"ה אם רחצו עד שלא נשאר בו רושם, ועי' חזו"א שם, שתמה שצריך ניגוב מחמת הרחיצה.</w:t>
      </w:r>
    </w:p>
  </w:footnote>
  <w:footnote w:id="767">
    <w:p w14:paraId="752679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767</w:t>
      </w:r>
      <w:r>
        <w:rPr>
          <w:rFonts w:ascii="David" w:hAnsi="David" w:cs="David"/>
          <w:sz w:val="24"/>
          <w:szCs w:val="24"/>
          <w:rtl/>
        </w:rPr>
        <w:t xml:space="preserve"> </w:t>
      </w:r>
      <w:r>
        <w:rPr>
          <w:rFonts w:ascii="David" w:hAnsi="David" w:cs="David"/>
          <w:color w:val="000000"/>
          <w:sz w:val="18"/>
          <w:szCs w:val="18"/>
          <w:rtl/>
        </w:rPr>
        <w:t>. רמב"ם ופהמ"ש שם; רע"ב שם. ועי' תוי"ט שם, שלפ"ז הוא בקומוס וקנקתום כשהם לחים, ועי' מים טהורים שם. ועי' בית דוד שם. ועי' חזו"א שם, ושם שלכאו' צריך ניגוב מחמת המים שהסיח דעתו מהם.</w:t>
      </w:r>
    </w:p>
  </w:footnote>
  <w:footnote w:id="768">
    <w:p w14:paraId="601676C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768</w:t>
      </w:r>
      <w:r>
        <w:rPr>
          <w:rFonts w:ascii="David" w:hAnsi="David" w:cs="David"/>
          <w:sz w:val="24"/>
          <w:szCs w:val="24"/>
          <w:rtl/>
        </w:rPr>
        <w:t xml:space="preserve"> </w:t>
      </w:r>
      <w:r>
        <w:rPr>
          <w:rFonts w:ascii="David" w:hAnsi="David" w:cs="David"/>
          <w:color w:val="000000"/>
          <w:sz w:val="18"/>
          <w:szCs w:val="18"/>
          <w:rtl/>
        </w:rPr>
        <w:t>. עי' ציון 747. ועי' ציון 746, שי"ח.</w:t>
      </w:r>
    </w:p>
  </w:footnote>
  <w:footnote w:id="769">
    <w:p w14:paraId="58D697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769</w:t>
      </w:r>
      <w:r>
        <w:rPr>
          <w:rFonts w:ascii="David" w:hAnsi="David" w:cs="David"/>
          <w:sz w:val="24"/>
          <w:szCs w:val="24"/>
          <w:rtl/>
        </w:rPr>
        <w:t xml:space="preserve"> </w:t>
      </w:r>
      <w:r>
        <w:rPr>
          <w:rFonts w:ascii="David" w:hAnsi="David" w:cs="David"/>
          <w:color w:val="000000"/>
          <w:sz w:val="18"/>
          <w:szCs w:val="18"/>
          <w:rtl/>
        </w:rPr>
        <w:t>. תפא"י בועז שם אות ד. ועי' חזו"א שם, שע"כ לא השתנה מראה המים ע"י הדיו (שא"כ צריך ניגוב, וצ"ב), ואעפ"כ הקילו שכשאין ניכר רושם בלחלוחית, לא לחוש שמא נשאר בה מעט ממשות דיו, ושלא נתפרש למה הקילו בזה, ועי' ציון הבא.</w:t>
      </w:r>
    </w:p>
  </w:footnote>
  <w:footnote w:id="770">
    <w:p w14:paraId="3B852E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770</w:t>
      </w:r>
      <w:r>
        <w:rPr>
          <w:rFonts w:ascii="David" w:hAnsi="David" w:cs="David"/>
          <w:sz w:val="24"/>
          <w:szCs w:val="24"/>
          <w:rtl/>
        </w:rPr>
        <w:t xml:space="preserve"> </w:t>
      </w:r>
      <w:r>
        <w:rPr>
          <w:rFonts w:ascii="David" w:hAnsi="David" w:cs="David"/>
          <w:color w:val="000000"/>
          <w:sz w:val="18"/>
          <w:szCs w:val="18"/>
          <w:rtl/>
        </w:rPr>
        <w:t>. חזו"א שם, ועי' ציון הקודם. וע"ש שמשקים ומי פירות מתערבים יותר, ואינם ניכרים, ויש לחוש שלא נגררו אחר הקילוח.</w:t>
      </w:r>
    </w:p>
  </w:footnote>
  <w:footnote w:id="771">
    <w:p w14:paraId="7F56956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771</w:t>
      </w:r>
      <w:r>
        <w:rPr>
          <w:rFonts w:ascii="David" w:hAnsi="David" w:cs="David"/>
          <w:sz w:val="24"/>
          <w:szCs w:val="24"/>
          <w:rtl/>
        </w:rPr>
        <w:t xml:space="preserve"> </w:t>
      </w:r>
      <w:r>
        <w:rPr>
          <w:rFonts w:ascii="David" w:hAnsi="David" w:cs="David"/>
          <w:color w:val="000000"/>
          <w:sz w:val="18"/>
          <w:szCs w:val="18"/>
          <w:rtl/>
        </w:rPr>
        <w:t>. עי' ר"ש שם ותוי"ט שם בשם מהר"ם, ועי' בית דוד שם.</w:t>
      </w:r>
    </w:p>
  </w:footnote>
  <w:footnote w:id="772">
    <w:p w14:paraId="37ADAE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772</w:t>
      </w:r>
      <w:r>
        <w:rPr>
          <w:rFonts w:ascii="David" w:hAnsi="David" w:cs="David"/>
          <w:sz w:val="24"/>
          <w:szCs w:val="24"/>
          <w:rtl/>
        </w:rPr>
        <w:t xml:space="preserve"> </w:t>
      </w:r>
      <w:r>
        <w:rPr>
          <w:rFonts w:ascii="David" w:hAnsi="David" w:cs="David"/>
          <w:color w:val="000000"/>
          <w:sz w:val="18"/>
          <w:szCs w:val="18"/>
          <w:rtl/>
        </w:rPr>
        <w:t>. חזו"א שם, ועי' ציון 814. ועי' מים טהורים שם, שביבישים א"צ לערות, אלא אם נפלו לכלי שאין בו מים.</w:t>
      </w:r>
    </w:p>
  </w:footnote>
  <w:footnote w:id="773">
    <w:p w14:paraId="1CFD5C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773</w:t>
      </w:r>
      <w:r>
        <w:rPr>
          <w:rFonts w:ascii="David" w:hAnsi="David" w:cs="David"/>
          <w:sz w:val="24"/>
          <w:szCs w:val="24"/>
          <w:rtl/>
        </w:rPr>
        <w:t xml:space="preserve"> </w:t>
      </w:r>
      <w:r>
        <w:rPr>
          <w:rFonts w:ascii="David" w:hAnsi="David" w:cs="David"/>
          <w:color w:val="000000"/>
          <w:sz w:val="18"/>
          <w:szCs w:val="18"/>
          <w:rtl/>
        </w:rPr>
        <w:t>. עי' ציון 380 ואילך.</w:t>
      </w:r>
    </w:p>
  </w:footnote>
  <w:footnote w:id="774">
    <w:p w14:paraId="3ECE11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774</w:t>
      </w:r>
      <w:r>
        <w:rPr>
          <w:rFonts w:ascii="David" w:hAnsi="David" w:cs="David"/>
          <w:sz w:val="24"/>
          <w:szCs w:val="24"/>
          <w:rtl/>
        </w:rPr>
        <w:t xml:space="preserve"> </w:t>
      </w:r>
      <w:r>
        <w:rPr>
          <w:rFonts w:ascii="David" w:hAnsi="David" w:cs="David"/>
          <w:color w:val="000000"/>
          <w:sz w:val="18"/>
          <w:szCs w:val="18"/>
          <w:rtl/>
        </w:rPr>
        <w:t>. עי' ציון 1041.</w:t>
      </w:r>
    </w:p>
  </w:footnote>
  <w:footnote w:id="775">
    <w:p w14:paraId="027831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775</w:t>
      </w:r>
      <w:r>
        <w:rPr>
          <w:rFonts w:ascii="David" w:hAnsi="David" w:cs="David"/>
          <w:sz w:val="24"/>
          <w:szCs w:val="24"/>
          <w:rtl/>
        </w:rPr>
        <w:t xml:space="preserve"> </w:t>
      </w:r>
      <w:r>
        <w:rPr>
          <w:rFonts w:ascii="David" w:hAnsi="David" w:cs="David"/>
          <w:color w:val="000000"/>
          <w:sz w:val="18"/>
          <w:szCs w:val="18"/>
          <w:rtl/>
        </w:rPr>
        <w:t>. ר"ש ורא"ש ורע"ב פרה פ"ה מ"ג, ע"פ משנה שם, עי' ציון הבא. ועי' פהמ"ש לרמב"ם שם, ועי' תוי"ט שם. ועי' מים טהורים שם, אם ה"ה אף בודאי בלעה מים.</w:t>
      </w:r>
    </w:p>
  </w:footnote>
  <w:footnote w:id="776">
    <w:p w14:paraId="581925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776</w:t>
      </w:r>
      <w:r>
        <w:rPr>
          <w:rFonts w:ascii="David" w:hAnsi="David" w:cs="David"/>
          <w:sz w:val="24"/>
          <w:szCs w:val="24"/>
          <w:rtl/>
        </w:rPr>
        <w:t xml:space="preserve"> </w:t>
      </w:r>
      <w:r>
        <w:rPr>
          <w:rFonts w:ascii="David" w:hAnsi="David" w:cs="David"/>
          <w:color w:val="000000"/>
          <w:sz w:val="18"/>
          <w:szCs w:val="18"/>
          <w:rtl/>
        </w:rPr>
        <w:t>. ציון 942. וע"ש על קרויה שהשתמשו בה משקים טהורים הטמאים לחטאת.</w:t>
      </w:r>
    </w:p>
  </w:footnote>
  <w:footnote w:id="777">
    <w:p w14:paraId="57AE8A0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777</w:t>
      </w:r>
      <w:r>
        <w:rPr>
          <w:rFonts w:ascii="David" w:hAnsi="David" w:cs="David"/>
          <w:sz w:val="24"/>
          <w:szCs w:val="24"/>
          <w:rtl/>
        </w:rPr>
        <w:t xml:space="preserve"> </w:t>
      </w:r>
      <w:r>
        <w:rPr>
          <w:rFonts w:ascii="David" w:hAnsi="David" w:cs="David"/>
          <w:color w:val="000000"/>
          <w:sz w:val="18"/>
          <w:szCs w:val="18"/>
          <w:rtl/>
        </w:rPr>
        <w:t>. עי' ציון הנ"ל.</w:t>
      </w:r>
    </w:p>
  </w:footnote>
  <w:footnote w:id="778">
    <w:p w14:paraId="5DF25B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778</w:t>
      </w:r>
      <w:r>
        <w:rPr>
          <w:rFonts w:ascii="David" w:hAnsi="David" w:cs="David"/>
          <w:sz w:val="24"/>
          <w:szCs w:val="24"/>
          <w:rtl/>
        </w:rPr>
        <w:t xml:space="preserve"> </w:t>
      </w:r>
      <w:r>
        <w:rPr>
          <w:rFonts w:ascii="David" w:hAnsi="David" w:cs="David"/>
          <w:color w:val="000000"/>
          <w:sz w:val="18"/>
          <w:szCs w:val="18"/>
          <w:rtl/>
        </w:rPr>
        <w:t>. עי' משנה פרה שם, וע"ש שר' יהושע תמה על החילוק בין קודם טומאה לאחר טומאה (ועי' ציון 790), ועי' ר' יוחנן בירושלמי ערובין פ"ט ה"ד וחגיגה פ"ג ה"ד, שכוונת ר' יהושע להחמיר, ועי' רע"ב וא"ר שבציון 807, שלדעתם מוכרח במשנה שר"י מחמיר (ועי' ציון 804, שי"מ בע"א), ועי' שי"ק שם וחזו"א פרה סי' י סוס"ק יד, שתמהו שממה שהוצרך ר' יוחנן לומר שכוונת ר' יהושע להחמיר, ל"מ כן, ועי' משנ"א שם מקור אחר שכוונת ר"י להחמיר, ועי' חזו"א שם ס"ק יב. ר"ש ורע"ב שם, ועי' רא"ש שם, ועי' להלן. ועי' ציון 790, בד' פהמ"ש שם. ועי' בית דוד שם שהכריע כן, ועי' ציון הנ"ל.</w:t>
      </w:r>
    </w:p>
  </w:footnote>
  <w:footnote w:id="779">
    <w:p w14:paraId="35BA99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779</w:t>
      </w:r>
      <w:r>
        <w:rPr>
          <w:rFonts w:ascii="David" w:hAnsi="David" w:cs="David"/>
          <w:sz w:val="24"/>
          <w:szCs w:val="24"/>
          <w:rtl/>
        </w:rPr>
        <w:t xml:space="preserve"> </w:t>
      </w:r>
      <w:r>
        <w:rPr>
          <w:rFonts w:ascii="David" w:hAnsi="David" w:cs="David"/>
          <w:color w:val="000000"/>
          <w:sz w:val="18"/>
          <w:szCs w:val="18"/>
          <w:rtl/>
        </w:rPr>
        <w:t>. ר"ש שם; רא"ש שם בפי' הא', וע"ש בסו"ד וחזו"נ שם בשמו, שתמה, למה לא נזכר במשנה שנגבה; רע"ב שם. ועי' ציון 720.</w:t>
      </w:r>
    </w:p>
  </w:footnote>
  <w:footnote w:id="780">
    <w:p w14:paraId="529446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780</w:t>
      </w:r>
      <w:r>
        <w:rPr>
          <w:rFonts w:ascii="David" w:hAnsi="David" w:cs="David"/>
          <w:sz w:val="24"/>
          <w:szCs w:val="24"/>
          <w:rtl/>
        </w:rPr>
        <w:t xml:space="preserve"> </w:t>
      </w:r>
      <w:r>
        <w:rPr>
          <w:rFonts w:ascii="David" w:hAnsi="David" w:cs="David"/>
          <w:color w:val="000000"/>
          <w:sz w:val="18"/>
          <w:szCs w:val="18"/>
          <w:rtl/>
        </w:rPr>
        <w:t>. ר"ש שם; רע"ב שם.</w:t>
      </w:r>
    </w:p>
  </w:footnote>
  <w:footnote w:id="781">
    <w:p w14:paraId="1D4EF7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781</w:t>
      </w:r>
      <w:r>
        <w:rPr>
          <w:rFonts w:ascii="David" w:hAnsi="David" w:cs="David"/>
          <w:sz w:val="24"/>
          <w:szCs w:val="24"/>
          <w:rtl/>
        </w:rPr>
        <w:t xml:space="preserve"> </w:t>
      </w:r>
      <w:r>
        <w:rPr>
          <w:rFonts w:ascii="David" w:hAnsi="David" w:cs="David"/>
          <w:color w:val="000000"/>
          <w:sz w:val="18"/>
          <w:szCs w:val="18"/>
          <w:rtl/>
        </w:rPr>
        <w:t>. עי' ציון 710 ואילך, ושם אם כ"ה אף לראשונים שבציון 746, ואם סוברים שמה"ת אינו בטל, לכאו' צ"ל שיפרשו כראשונים שבציון 787 ואילך.</w:t>
      </w:r>
    </w:p>
  </w:footnote>
  <w:footnote w:id="782">
    <w:p w14:paraId="7975C5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782</w:t>
      </w:r>
      <w:r>
        <w:rPr>
          <w:rFonts w:ascii="David" w:hAnsi="David" w:cs="David"/>
          <w:sz w:val="24"/>
          <w:szCs w:val="24"/>
          <w:rtl/>
        </w:rPr>
        <w:t xml:space="preserve"> </w:t>
      </w:r>
      <w:r>
        <w:rPr>
          <w:rFonts w:ascii="David" w:hAnsi="David" w:cs="David"/>
          <w:color w:val="000000"/>
          <w:sz w:val="18"/>
          <w:szCs w:val="18"/>
          <w:rtl/>
        </w:rPr>
        <w:t>. עי' א"ר שם, וכעי"ז בחזו"א שם ס"ק יד. ועי' משנ"א שם, שאפי' קרוב לודאי שתפלוט, המים כשרים, שמא עדיין לא פלטה. וצ"ב למה אין חוששים שתפלוט לאחר הקידוש, לסוברים שלד"ה אין נותנים לתוכה מים מקודשים, עי' ציון 804, וצ"ל ככס"מ שבציון 798 (ועי' ציון 800 שי"ח), ואפשר שזה טעם הראשונים שבציון 807, שהתירו ליתן מים מקודשים.</w:t>
      </w:r>
    </w:p>
  </w:footnote>
  <w:footnote w:id="783">
    <w:p w14:paraId="3630D5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783</w:t>
      </w:r>
      <w:r>
        <w:rPr>
          <w:rFonts w:ascii="David" w:hAnsi="David" w:cs="David"/>
          <w:sz w:val="24"/>
          <w:szCs w:val="24"/>
          <w:rtl/>
        </w:rPr>
        <w:t xml:space="preserve"> </w:t>
      </w:r>
      <w:r>
        <w:rPr>
          <w:rFonts w:ascii="David" w:hAnsi="David" w:cs="David"/>
          <w:color w:val="000000"/>
          <w:sz w:val="18"/>
          <w:szCs w:val="18"/>
          <w:rtl/>
        </w:rPr>
        <w:t>. עי' ציון 942.</w:t>
      </w:r>
    </w:p>
  </w:footnote>
  <w:footnote w:id="784">
    <w:p w14:paraId="0A7BA5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784</w:t>
      </w:r>
      <w:r>
        <w:rPr>
          <w:rFonts w:ascii="David" w:hAnsi="David" w:cs="David"/>
          <w:sz w:val="24"/>
          <w:szCs w:val="24"/>
          <w:rtl/>
        </w:rPr>
        <w:t xml:space="preserve"> </w:t>
      </w:r>
      <w:r>
        <w:rPr>
          <w:rFonts w:ascii="David" w:hAnsi="David" w:cs="David"/>
          <w:color w:val="000000"/>
          <w:sz w:val="18"/>
          <w:szCs w:val="18"/>
          <w:rtl/>
        </w:rPr>
        <w:t>. ע"ע טמאת משקים ציון 47.</w:t>
      </w:r>
    </w:p>
  </w:footnote>
  <w:footnote w:id="785">
    <w:p w14:paraId="449797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785</w:t>
      </w:r>
      <w:r>
        <w:rPr>
          <w:rFonts w:ascii="David" w:hAnsi="David" w:cs="David"/>
          <w:sz w:val="24"/>
          <w:szCs w:val="24"/>
          <w:rtl/>
        </w:rPr>
        <w:t xml:space="preserve"> </w:t>
      </w:r>
      <w:r>
        <w:rPr>
          <w:rFonts w:ascii="David" w:hAnsi="David" w:cs="David"/>
          <w:color w:val="000000"/>
          <w:sz w:val="18"/>
          <w:szCs w:val="18"/>
          <w:rtl/>
        </w:rPr>
        <w:t>. משנ"א שם. ואפשר שלא חששו אלא כשכל המים פסולים מדרבנן, ועי' ציון 946.</w:t>
      </w:r>
    </w:p>
  </w:footnote>
  <w:footnote w:id="786">
    <w:p w14:paraId="06A6B4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786</w:t>
      </w:r>
      <w:r>
        <w:rPr>
          <w:rFonts w:ascii="David" w:hAnsi="David" w:cs="David"/>
          <w:sz w:val="24"/>
          <w:szCs w:val="24"/>
          <w:rtl/>
        </w:rPr>
        <w:t xml:space="preserve"> </w:t>
      </w:r>
      <w:r>
        <w:rPr>
          <w:rFonts w:ascii="David" w:hAnsi="David" w:cs="David"/>
          <w:color w:val="000000"/>
          <w:sz w:val="18"/>
          <w:szCs w:val="18"/>
          <w:rtl/>
        </w:rPr>
        <w:t>. משנ"א שם.</w:t>
      </w:r>
    </w:p>
  </w:footnote>
  <w:footnote w:id="787">
    <w:p w14:paraId="4474662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787</w:t>
      </w:r>
      <w:r>
        <w:rPr>
          <w:rFonts w:ascii="David" w:hAnsi="David" w:cs="David"/>
          <w:sz w:val="24"/>
          <w:szCs w:val="24"/>
          <w:rtl/>
        </w:rPr>
        <w:t xml:space="preserve"> </w:t>
      </w:r>
      <w:r>
        <w:rPr>
          <w:rFonts w:ascii="David" w:hAnsi="David" w:cs="David"/>
          <w:color w:val="000000"/>
          <w:sz w:val="18"/>
          <w:szCs w:val="18"/>
          <w:rtl/>
        </w:rPr>
        <w:t>. ראשונים שבציון 790, ושם שכן גי' הירו'.</w:t>
      </w:r>
    </w:p>
  </w:footnote>
  <w:footnote w:id="788">
    <w:p w14:paraId="407F11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788</w:t>
      </w:r>
      <w:r>
        <w:rPr>
          <w:rFonts w:ascii="David" w:hAnsi="David" w:cs="David"/>
          <w:sz w:val="24"/>
          <w:szCs w:val="24"/>
          <w:rtl/>
        </w:rPr>
        <w:t xml:space="preserve"> </w:t>
      </w:r>
      <w:r>
        <w:rPr>
          <w:rFonts w:ascii="David" w:hAnsi="David" w:cs="David"/>
          <w:color w:val="000000"/>
          <w:sz w:val="18"/>
          <w:szCs w:val="18"/>
          <w:rtl/>
        </w:rPr>
        <w:t>. עי' ראשונים הנ"ל. ועי' משנ"א שם, שאם הגעילה או ניגבה במים ואפר, שוב אינה פולטת, וצ"ב אם היינו כשעושה ההכשר במים הראויים לקידוש, ועי' חזו"א שם ס"ק יא, שמ' קצת שלא מועיל ניגוב במים ואפר. ועי' משנ"א שם, שנ' שה"ה בשאר כלי ע"י בישול פולט מים, ואוסר, וצ"ב שה"ה ע"י כבישה מעל"ע, ע"ע כבוש, אבל אפשר שאינו פולט אלא טעם, ולא גוף המים, ועי' תפא"י שם פ"ט בועז אות ד וחזו"א שם וסוס"ק יג, ועי' ציון 944.</w:t>
      </w:r>
    </w:p>
  </w:footnote>
  <w:footnote w:id="789">
    <w:p w14:paraId="65DD8A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789</w:t>
      </w:r>
      <w:r>
        <w:rPr>
          <w:rFonts w:ascii="David" w:hAnsi="David" w:cs="David"/>
          <w:sz w:val="24"/>
          <w:szCs w:val="24"/>
          <w:rtl/>
        </w:rPr>
        <w:t xml:space="preserve"> </w:t>
      </w:r>
      <w:r>
        <w:rPr>
          <w:rFonts w:ascii="David" w:hAnsi="David" w:cs="David"/>
          <w:color w:val="000000"/>
          <w:sz w:val="18"/>
          <w:szCs w:val="18"/>
          <w:rtl/>
        </w:rPr>
        <w:t>. חזו"א שם ס"ק יב.</w:t>
      </w:r>
    </w:p>
  </w:footnote>
  <w:footnote w:id="790">
    <w:p w14:paraId="7F287E8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790</w:t>
      </w:r>
      <w:r>
        <w:rPr>
          <w:rFonts w:ascii="David" w:hAnsi="David" w:cs="David"/>
          <w:sz w:val="24"/>
          <w:szCs w:val="24"/>
          <w:rtl/>
        </w:rPr>
        <w:t xml:space="preserve"> </w:t>
      </w:r>
      <w:r>
        <w:rPr>
          <w:rFonts w:ascii="David" w:hAnsi="David" w:cs="David"/>
          <w:color w:val="000000"/>
          <w:sz w:val="18"/>
          <w:szCs w:val="18"/>
          <w:rtl/>
        </w:rPr>
        <w:t>. עי' משנה שבציון 778. עי' רמב"ם פרה פ"ט ה"י, וכ"ה בפהמ"ש פרה פ"ה מ"ג הנדמ"ח, אבל גי' הישנה אינה כן, ועי' תוי"ט ובית דוד שם, ועי' כס"מ שם, ועי' רא"ש שם, וחזו"נ בשמו שהכריע כן. וכן הגי' לפנינו בירושלמי ערובין פ"ט ה"ד וחגיגה פ"ג ה"ד. ועי' בית דוד שם שתמה, שא"כ מה השוה ר' יהושע שבציון 778 לקרויה טמאה, שאין המים ראויים, ועי' רא"ש שם, שנ' שהוא סובר שכשנבלעו בטלה הטומאה, ועי' ציונים 98, 101, שי"ס שבטלה הטומאה ע"י השקה.</w:t>
      </w:r>
    </w:p>
  </w:footnote>
  <w:footnote w:id="791">
    <w:p w14:paraId="4F8B746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791</w:t>
      </w:r>
      <w:r>
        <w:rPr>
          <w:rFonts w:ascii="David" w:hAnsi="David" w:cs="David"/>
          <w:sz w:val="24"/>
          <w:szCs w:val="24"/>
          <w:rtl/>
        </w:rPr>
        <w:t xml:space="preserve"> </w:t>
      </w:r>
      <w:r>
        <w:rPr>
          <w:rFonts w:ascii="David" w:hAnsi="David" w:cs="David"/>
          <w:color w:val="000000"/>
          <w:sz w:val="18"/>
          <w:szCs w:val="18"/>
          <w:rtl/>
        </w:rPr>
        <w:t>. ראשונים שבציון הנ"ל.</w:t>
      </w:r>
    </w:p>
  </w:footnote>
  <w:footnote w:id="792">
    <w:p w14:paraId="33FDB8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792</w:t>
      </w:r>
      <w:r>
        <w:rPr>
          <w:rFonts w:ascii="David" w:hAnsi="David" w:cs="David"/>
          <w:sz w:val="24"/>
          <w:szCs w:val="24"/>
          <w:rtl/>
        </w:rPr>
        <w:t xml:space="preserve"> </w:t>
      </w:r>
      <w:r>
        <w:rPr>
          <w:rFonts w:ascii="David" w:hAnsi="David" w:cs="David"/>
          <w:color w:val="000000"/>
          <w:sz w:val="18"/>
          <w:szCs w:val="18"/>
          <w:rtl/>
        </w:rPr>
        <w:t>. חזו"א פרה סי' י ס"ק יד. וכן מוכח במשנ"א שם, שדוקא לד' הרמב"ם נחלקו ת"ק ור' יהושע בהטבילה במים הראויים לקידוש.</w:t>
      </w:r>
    </w:p>
  </w:footnote>
  <w:footnote w:id="793">
    <w:p w14:paraId="27A6CC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793</w:t>
      </w:r>
      <w:r>
        <w:rPr>
          <w:rFonts w:ascii="David" w:hAnsi="David" w:cs="David"/>
          <w:sz w:val="24"/>
          <w:szCs w:val="24"/>
          <w:rtl/>
        </w:rPr>
        <w:t xml:space="preserve"> </w:t>
      </w:r>
      <w:r>
        <w:rPr>
          <w:rFonts w:ascii="David" w:hAnsi="David" w:cs="David"/>
          <w:color w:val="000000"/>
          <w:sz w:val="18"/>
          <w:szCs w:val="18"/>
          <w:rtl/>
        </w:rPr>
        <w:t>. עי' ציון 388. ועי' בית דוד שם, שאף כשנתמלאו לקידוש, כיון שנבלעו נפסלו, ועי' מים טהורים שם, שפי' כן בד' הרא"ש, ועי' ציון 267 ואילך.</w:t>
      </w:r>
    </w:p>
  </w:footnote>
  <w:footnote w:id="794">
    <w:p w14:paraId="44F801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794</w:t>
      </w:r>
      <w:r>
        <w:rPr>
          <w:rFonts w:ascii="David" w:hAnsi="David" w:cs="David"/>
          <w:sz w:val="24"/>
          <w:szCs w:val="24"/>
          <w:rtl/>
        </w:rPr>
        <w:t xml:space="preserve"> </w:t>
      </w:r>
      <w:r>
        <w:rPr>
          <w:rFonts w:ascii="David" w:hAnsi="David" w:cs="David"/>
          <w:color w:val="000000"/>
          <w:sz w:val="18"/>
          <w:szCs w:val="18"/>
          <w:rtl/>
        </w:rPr>
        <w:t>. עי' ציון 385.</w:t>
      </w:r>
    </w:p>
  </w:footnote>
  <w:footnote w:id="795">
    <w:p w14:paraId="795DBA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795</w:t>
      </w:r>
      <w:r>
        <w:rPr>
          <w:rFonts w:ascii="David" w:hAnsi="David" w:cs="David"/>
          <w:sz w:val="24"/>
          <w:szCs w:val="24"/>
          <w:rtl/>
        </w:rPr>
        <w:t xml:space="preserve"> </w:t>
      </w:r>
      <w:r>
        <w:rPr>
          <w:rFonts w:ascii="David" w:hAnsi="David" w:cs="David"/>
          <w:color w:val="000000"/>
          <w:sz w:val="18"/>
          <w:szCs w:val="18"/>
          <w:rtl/>
        </w:rPr>
        <w:t>. עי' ציון 802 ואילך. חזו"א שם סוס"ק יב וס"ק יג.</w:t>
      </w:r>
    </w:p>
  </w:footnote>
  <w:footnote w:id="796">
    <w:p w14:paraId="1BC0138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796</w:t>
      </w:r>
      <w:r>
        <w:rPr>
          <w:rFonts w:ascii="David" w:hAnsi="David" w:cs="David"/>
          <w:sz w:val="24"/>
          <w:szCs w:val="24"/>
          <w:rtl/>
        </w:rPr>
        <w:t xml:space="preserve"> </w:t>
      </w:r>
      <w:r>
        <w:rPr>
          <w:rFonts w:ascii="David" w:hAnsi="David" w:cs="David"/>
          <w:color w:val="000000"/>
          <w:sz w:val="18"/>
          <w:szCs w:val="18"/>
          <w:rtl/>
        </w:rPr>
        <w:t>. עי' כס"מ דלהלן, ועי' רמב"ם שם פ"י ה"ב וראב"ד ונו"כ שם.</w:t>
      </w:r>
    </w:p>
  </w:footnote>
  <w:footnote w:id="797">
    <w:p w14:paraId="32BA04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797</w:t>
      </w:r>
      <w:r>
        <w:rPr>
          <w:rFonts w:ascii="David" w:hAnsi="David" w:cs="David"/>
          <w:sz w:val="24"/>
          <w:szCs w:val="24"/>
          <w:rtl/>
        </w:rPr>
        <w:t xml:space="preserve"> </w:t>
      </w:r>
      <w:r>
        <w:rPr>
          <w:rFonts w:ascii="David" w:hAnsi="David" w:cs="David"/>
          <w:color w:val="000000"/>
          <w:sz w:val="18"/>
          <w:szCs w:val="18"/>
          <w:rtl/>
        </w:rPr>
        <w:t>. מהרי"ח שם, בישוב תמיהת תוי"ט שם, ועי' שושנים לדוד שם.</w:t>
      </w:r>
    </w:p>
  </w:footnote>
  <w:footnote w:id="798">
    <w:p w14:paraId="2559CF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798</w:t>
      </w:r>
      <w:r>
        <w:rPr>
          <w:rFonts w:ascii="David" w:hAnsi="David" w:cs="David"/>
          <w:sz w:val="24"/>
          <w:szCs w:val="24"/>
          <w:rtl/>
        </w:rPr>
        <w:t xml:space="preserve"> </w:t>
      </w:r>
      <w:r>
        <w:rPr>
          <w:rFonts w:ascii="David" w:hAnsi="David" w:cs="David"/>
          <w:color w:val="000000"/>
          <w:sz w:val="18"/>
          <w:szCs w:val="18"/>
          <w:rtl/>
        </w:rPr>
        <w:t>. כס"מ פ"ט שם, ועי' ציון 782. ועי' ציון 706.</w:t>
      </w:r>
    </w:p>
  </w:footnote>
  <w:footnote w:id="799">
    <w:p w14:paraId="0170CE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799</w:t>
      </w:r>
      <w:r>
        <w:rPr>
          <w:rFonts w:ascii="David" w:hAnsi="David" w:cs="David"/>
          <w:sz w:val="24"/>
          <w:szCs w:val="24"/>
          <w:rtl/>
        </w:rPr>
        <w:t xml:space="preserve"> </w:t>
      </w:r>
      <w:r>
        <w:rPr>
          <w:rFonts w:ascii="David" w:hAnsi="David" w:cs="David"/>
          <w:color w:val="000000"/>
          <w:sz w:val="18"/>
          <w:szCs w:val="18"/>
          <w:rtl/>
        </w:rPr>
        <w:t>. עי' לעיל שקודם הקידוש חוששים, ולכן אם הטבילוה במים שאין ראויים לקידוש, אין מקדשים בה, ועי' מים טהורים שם שתמה.</w:t>
      </w:r>
    </w:p>
  </w:footnote>
  <w:footnote w:id="800">
    <w:p w14:paraId="5FA34F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800</w:t>
      </w:r>
      <w:r>
        <w:rPr>
          <w:rFonts w:ascii="David" w:hAnsi="David" w:cs="David"/>
          <w:sz w:val="24"/>
          <w:szCs w:val="24"/>
          <w:rtl/>
        </w:rPr>
        <w:t xml:space="preserve"> </w:t>
      </w:r>
      <w:r>
        <w:rPr>
          <w:rFonts w:ascii="David" w:hAnsi="David" w:cs="David"/>
          <w:color w:val="000000"/>
          <w:sz w:val="18"/>
          <w:szCs w:val="18"/>
          <w:rtl/>
        </w:rPr>
        <w:t>. תוי"ט וחזו"א שבציונים 698, 703.</w:t>
      </w:r>
    </w:p>
  </w:footnote>
  <w:footnote w:id="801">
    <w:p w14:paraId="1727D47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801</w:t>
      </w:r>
      <w:r>
        <w:rPr>
          <w:rFonts w:ascii="David" w:hAnsi="David" w:cs="David"/>
          <w:sz w:val="24"/>
          <w:szCs w:val="24"/>
          <w:rtl/>
        </w:rPr>
        <w:t xml:space="preserve"> </w:t>
      </w:r>
      <w:r>
        <w:rPr>
          <w:rFonts w:ascii="David" w:hAnsi="David" w:cs="David"/>
          <w:color w:val="000000"/>
          <w:sz w:val="18"/>
          <w:szCs w:val="18"/>
          <w:rtl/>
        </w:rPr>
        <w:t>. ציונים 701, 705 ואילך.</w:t>
      </w:r>
    </w:p>
  </w:footnote>
  <w:footnote w:id="802">
    <w:p w14:paraId="6E0F85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802</w:t>
      </w:r>
      <w:r>
        <w:rPr>
          <w:rFonts w:ascii="David" w:hAnsi="David" w:cs="David"/>
          <w:sz w:val="24"/>
          <w:szCs w:val="24"/>
          <w:rtl/>
        </w:rPr>
        <w:t xml:space="preserve"> </w:t>
      </w:r>
      <w:r>
        <w:rPr>
          <w:rFonts w:ascii="David" w:hAnsi="David" w:cs="David"/>
          <w:color w:val="000000"/>
          <w:sz w:val="18"/>
          <w:szCs w:val="18"/>
          <w:rtl/>
        </w:rPr>
        <w:t>. פרה פ"ה מ"ג; רמב"ם פרה פ"ט ה"י. ועי' ציון 788, על ההכשר המועיל בזה, ועל דין שאר כלים.</w:t>
      </w:r>
    </w:p>
  </w:footnote>
  <w:footnote w:id="803">
    <w:p w14:paraId="648020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803</w:t>
      </w:r>
      <w:r>
        <w:rPr>
          <w:rFonts w:ascii="David" w:hAnsi="David" w:cs="David"/>
          <w:sz w:val="24"/>
          <w:szCs w:val="24"/>
          <w:rtl/>
        </w:rPr>
        <w:t xml:space="preserve"> </w:t>
      </w:r>
      <w:r>
        <w:rPr>
          <w:rFonts w:ascii="David" w:hAnsi="David" w:cs="David"/>
          <w:color w:val="000000"/>
          <w:sz w:val="18"/>
          <w:szCs w:val="18"/>
          <w:rtl/>
        </w:rPr>
        <w:t>. רמב"ם ופהמ"ש שם. ועי' ר"ש שם, וחזו"א פרה סי' י ס"ק יד.</w:t>
      </w:r>
    </w:p>
  </w:footnote>
  <w:footnote w:id="804">
    <w:p w14:paraId="225AED2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804</w:t>
      </w:r>
      <w:r>
        <w:rPr>
          <w:rFonts w:ascii="David" w:hAnsi="David" w:cs="David"/>
          <w:sz w:val="24"/>
          <w:szCs w:val="24"/>
          <w:rtl/>
        </w:rPr>
        <w:t xml:space="preserve"> </w:t>
      </w:r>
      <w:r>
        <w:rPr>
          <w:rFonts w:ascii="David" w:hAnsi="David" w:cs="David"/>
          <w:color w:val="000000"/>
          <w:sz w:val="18"/>
          <w:szCs w:val="18"/>
          <w:rtl/>
        </w:rPr>
        <w:t>. עי' לעיל. עי' רמב"ם ופהמ"ש שם, ועי' תוי"ט וחזו"נ שם, שכ"ה אף ד' הר"ש שם, ועי' חזו"א שם, ועי' ציון 778, שכן מוכח מירו'. ועי' ציון 798 ואילך. והיינו שאף לסוברים שקודם קידוש לא החמירו מפני שפסולם הוא מדרבנן, עי' ציון 782, ואף תערובת מים שאינם מקודשים במקודשים י"ס שאינה פוסלת אלא מדרבנן, עי' ציון 747, במים שהם מקודשים כבר החמירו יותר, עי' משנ"א שבציון 715.</w:t>
      </w:r>
    </w:p>
  </w:footnote>
  <w:footnote w:id="805">
    <w:p w14:paraId="154844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805</w:t>
      </w:r>
      <w:r>
        <w:rPr>
          <w:rFonts w:ascii="David" w:hAnsi="David" w:cs="David"/>
          <w:sz w:val="24"/>
          <w:szCs w:val="24"/>
          <w:rtl/>
        </w:rPr>
        <w:t xml:space="preserve"> </w:t>
      </w:r>
      <w:r>
        <w:rPr>
          <w:rFonts w:ascii="David" w:hAnsi="David" w:cs="David"/>
          <w:color w:val="000000"/>
          <w:sz w:val="18"/>
          <w:szCs w:val="18"/>
          <w:rtl/>
        </w:rPr>
        <w:t>. עי' ציון 724 ואילך. עי' רמב"ם ופהמ"ש שם.</w:t>
      </w:r>
    </w:p>
  </w:footnote>
  <w:footnote w:id="806">
    <w:p w14:paraId="1067E6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806</w:t>
      </w:r>
      <w:r>
        <w:rPr>
          <w:rFonts w:ascii="David" w:hAnsi="David" w:cs="David"/>
          <w:sz w:val="24"/>
          <w:szCs w:val="24"/>
          <w:rtl/>
        </w:rPr>
        <w:t xml:space="preserve"> </w:t>
      </w:r>
      <w:r>
        <w:rPr>
          <w:rFonts w:ascii="David" w:hAnsi="David" w:cs="David"/>
          <w:color w:val="000000"/>
          <w:sz w:val="18"/>
          <w:szCs w:val="18"/>
          <w:rtl/>
        </w:rPr>
        <w:t>. עי' ציון 778.</w:t>
      </w:r>
    </w:p>
  </w:footnote>
  <w:footnote w:id="807">
    <w:p w14:paraId="7CFB76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807</w:t>
      </w:r>
      <w:r>
        <w:rPr>
          <w:rFonts w:ascii="David" w:hAnsi="David" w:cs="David"/>
          <w:sz w:val="24"/>
          <w:szCs w:val="24"/>
          <w:rtl/>
        </w:rPr>
        <w:t xml:space="preserve"> </w:t>
      </w:r>
      <w:r>
        <w:rPr>
          <w:rFonts w:ascii="David" w:hAnsi="David" w:cs="David"/>
          <w:color w:val="000000"/>
          <w:sz w:val="18"/>
          <w:szCs w:val="18"/>
          <w:rtl/>
        </w:rPr>
        <w:t>. עי' רע"ב וא"ר שם, שפי' משנה שם כד' ר' יהושע שבציון הנ"ל, ועי' חזו"נ שם. ועי' ציון הנ"ל. ועי' ציון 782.</w:t>
      </w:r>
    </w:p>
  </w:footnote>
  <w:footnote w:id="808">
    <w:p w14:paraId="55F8857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808</w:t>
      </w:r>
      <w:r>
        <w:rPr>
          <w:rFonts w:ascii="David" w:hAnsi="David" w:cs="David"/>
          <w:sz w:val="24"/>
          <w:szCs w:val="24"/>
          <w:rtl/>
        </w:rPr>
        <w:t xml:space="preserve"> </w:t>
      </w:r>
      <w:r>
        <w:rPr>
          <w:rFonts w:ascii="David" w:hAnsi="David" w:cs="David"/>
          <w:color w:val="000000"/>
          <w:sz w:val="18"/>
          <w:szCs w:val="18"/>
          <w:rtl/>
        </w:rPr>
        <w:t>. פרה פ"ט מ"א ופי"א מ"א; רמב"ם פרה פ"ט ה"ח וטז. ולכאו' היינו אף במים שאינם מקודשים, שהרי טל אינו כשר לקידוש, עי' רבנו גרשום חולין ט ב ותפא"י פרה פי"א אות ו, ועי' ציון 709 ואילך, ועי' חזו"א פרה סי' יג ס"ק י. ועי' חזו"א שם, שמטעם טומאה אינו נפסל, שכיון שלא ירד לרצון אין בו טומאה.</w:t>
      </w:r>
    </w:p>
  </w:footnote>
  <w:footnote w:id="809">
    <w:p w14:paraId="3A24B1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809</w:t>
      </w:r>
      <w:r>
        <w:rPr>
          <w:rFonts w:ascii="David" w:hAnsi="David" w:cs="David"/>
          <w:sz w:val="24"/>
          <w:szCs w:val="24"/>
          <w:rtl/>
        </w:rPr>
        <w:t xml:space="preserve"> </w:t>
      </w:r>
      <w:r>
        <w:rPr>
          <w:rFonts w:ascii="David" w:hAnsi="David" w:cs="David"/>
          <w:color w:val="000000"/>
          <w:sz w:val="18"/>
          <w:szCs w:val="18"/>
          <w:rtl/>
        </w:rPr>
        <w:t>. ציון 62 ואילך. ועי' הון עשיר פרה פ"ט שם.</w:t>
      </w:r>
    </w:p>
  </w:footnote>
  <w:footnote w:id="810">
    <w:p w14:paraId="2CC78B3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810</w:t>
      </w:r>
      <w:r>
        <w:rPr>
          <w:rFonts w:ascii="David" w:hAnsi="David" w:cs="David"/>
          <w:sz w:val="24"/>
          <w:szCs w:val="24"/>
          <w:rtl/>
        </w:rPr>
        <w:t xml:space="preserve"> </w:t>
      </w:r>
      <w:r>
        <w:rPr>
          <w:rFonts w:ascii="David" w:hAnsi="David" w:cs="David"/>
          <w:color w:val="000000"/>
          <w:sz w:val="18"/>
          <w:szCs w:val="18"/>
          <w:rtl/>
        </w:rPr>
        <w:t>. עי' משנה שם, ותפא"י פי"א שם, ובועז שם אות ד.</w:t>
      </w:r>
    </w:p>
  </w:footnote>
  <w:footnote w:id="811">
    <w:p w14:paraId="7E350F2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811</w:t>
      </w:r>
      <w:r>
        <w:rPr>
          <w:rFonts w:ascii="David" w:hAnsi="David" w:cs="David"/>
          <w:sz w:val="24"/>
          <w:szCs w:val="24"/>
          <w:rtl/>
        </w:rPr>
        <w:t xml:space="preserve"> </w:t>
      </w:r>
      <w:r>
        <w:rPr>
          <w:rFonts w:ascii="David" w:hAnsi="David" w:cs="David"/>
          <w:color w:val="000000"/>
          <w:sz w:val="18"/>
          <w:szCs w:val="18"/>
          <w:rtl/>
        </w:rPr>
        <w:t>. חזו"א שם ס"ק ט ויא. וכ"מ שבידים פ"א מ"ג, נוסף ששינו המראה, ובפרה לא נזכר. ועי' להלן.</w:t>
      </w:r>
    </w:p>
  </w:footnote>
  <w:footnote w:id="812">
    <w:p w14:paraId="549338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812</w:t>
      </w:r>
      <w:r>
        <w:rPr>
          <w:rFonts w:ascii="David" w:hAnsi="David" w:cs="David"/>
          <w:sz w:val="24"/>
          <w:szCs w:val="24"/>
          <w:rtl/>
        </w:rPr>
        <w:t xml:space="preserve"> </w:t>
      </w:r>
      <w:r>
        <w:rPr>
          <w:rFonts w:ascii="David" w:hAnsi="David" w:cs="David"/>
          <w:color w:val="000000"/>
          <w:sz w:val="18"/>
          <w:szCs w:val="18"/>
          <w:rtl/>
        </w:rPr>
        <w:t>. עי' משנה פ"ט שם, ועי' מים טהורים שם, שמפרש בד' פהמ"ש, שהוא כשנפלו דברים אלו לכלי ריק; עי' רמב"ם שם ה"ח. ועי' חזו"א שם ס"ק י, דהיינו במשקים שנשמרו לשם מי חטאת, שאל"כ מטמאים את הכלי, עי' ציון 1043, וע"ש על שאר דברים שנפלו. ועי' ציון 763 ואילך כשנפלו דברים אלו, אם צריך לנגב, ועי' ציון 769. ועי' ציון 771, שי"מ בקומוס וקנקנתם יבשים, ואעפ"כ נפסלים המים.</w:t>
      </w:r>
    </w:p>
  </w:footnote>
  <w:footnote w:id="813">
    <w:p w14:paraId="2EE24E2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813</w:t>
      </w:r>
      <w:r>
        <w:rPr>
          <w:rFonts w:ascii="David" w:hAnsi="David" w:cs="David"/>
          <w:sz w:val="24"/>
          <w:szCs w:val="24"/>
          <w:rtl/>
        </w:rPr>
        <w:t xml:space="preserve"> </w:t>
      </w:r>
      <w:r>
        <w:rPr>
          <w:rFonts w:ascii="David" w:hAnsi="David" w:cs="David"/>
          <w:color w:val="000000"/>
          <w:sz w:val="18"/>
          <w:szCs w:val="18"/>
          <w:rtl/>
        </w:rPr>
        <w:t>. ציון 814 ואילך, ושם בטעם החילוק.</w:t>
      </w:r>
    </w:p>
  </w:footnote>
  <w:footnote w:id="814">
    <w:p w14:paraId="3ADD63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814</w:t>
      </w:r>
      <w:r>
        <w:rPr>
          <w:rFonts w:ascii="David" w:hAnsi="David" w:cs="David"/>
          <w:sz w:val="24"/>
          <w:szCs w:val="24"/>
          <w:rtl/>
        </w:rPr>
        <w:t xml:space="preserve"> </w:t>
      </w:r>
      <w:r>
        <w:rPr>
          <w:rFonts w:ascii="David" w:hAnsi="David" w:cs="David"/>
          <w:color w:val="000000"/>
          <w:sz w:val="18"/>
          <w:szCs w:val="18"/>
          <w:rtl/>
        </w:rPr>
        <w:t>. עי' תוספ' פרה פ"ט, הובאה בר"ש פרה פ"ט מ"ה וח וברא"ש שם. ועי' חזו"א פרה סי' יג ס"ק יא, שיש לחלק בינם לבין קומוס וקנקנתום שבציון 812, ולכאו' היינו שבקומוס וקנקנתום נשאר מעט במים, או שיש לחוש יותר שישנה המראה, ועי' ציון 772.</w:t>
      </w:r>
    </w:p>
  </w:footnote>
  <w:footnote w:id="815">
    <w:p w14:paraId="5A3908C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815</w:t>
      </w:r>
      <w:r>
        <w:rPr>
          <w:rFonts w:ascii="David" w:hAnsi="David" w:cs="David"/>
          <w:sz w:val="24"/>
          <w:szCs w:val="24"/>
          <w:rtl/>
        </w:rPr>
        <w:t xml:space="preserve"> </w:t>
      </w:r>
      <w:r>
        <w:rPr>
          <w:rFonts w:ascii="David" w:hAnsi="David" w:cs="David"/>
          <w:color w:val="000000"/>
          <w:sz w:val="18"/>
          <w:szCs w:val="18"/>
          <w:rtl/>
        </w:rPr>
        <w:t>. תוספ' שם; רמב"ם פרה פ"ט הי"ג. ועי' פרה פ"ח מי"א ורמב"ם שם פ"ו הי"ד, ועי' משנ"א שם וחס"ד שם ה"ז. ועי' מג"א סי' קס ס"ק ב ובהגר"א שם ס"א וערה"ש שם ס"ג וצ"פ ברכות פ"ו ה"ז (וע"ש מאכ"א פט"ז הכ"א) וחזו"א או"ח סי' כב ס"ק ז. ועי' תפא"י שבציונים 830, 846, שנ' שלא נפסל מחמת שינוי מראה מחמת דבר אחר, אלא כשנתערב בו אותו דבר אחר.</w:t>
      </w:r>
    </w:p>
  </w:footnote>
  <w:footnote w:id="816">
    <w:p w14:paraId="591189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816</w:t>
      </w:r>
      <w:r>
        <w:rPr>
          <w:rFonts w:ascii="David" w:hAnsi="David" w:cs="David"/>
          <w:sz w:val="24"/>
          <w:szCs w:val="24"/>
          <w:rtl/>
        </w:rPr>
        <w:t xml:space="preserve"> </w:t>
      </w:r>
      <w:r>
        <w:rPr>
          <w:rFonts w:ascii="David" w:hAnsi="David" w:cs="David"/>
          <w:color w:val="000000"/>
          <w:sz w:val="18"/>
          <w:szCs w:val="18"/>
          <w:rtl/>
        </w:rPr>
        <w:t>. פהמ"ש פרה שם, וכ"נ במשנה שם.</w:t>
      </w:r>
    </w:p>
  </w:footnote>
  <w:footnote w:id="817">
    <w:p w14:paraId="10C7DA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817</w:t>
      </w:r>
      <w:r>
        <w:rPr>
          <w:rFonts w:ascii="David" w:hAnsi="David" w:cs="David"/>
          <w:sz w:val="24"/>
          <w:szCs w:val="24"/>
          <w:rtl/>
        </w:rPr>
        <w:t xml:space="preserve"> </w:t>
      </w:r>
      <w:r>
        <w:rPr>
          <w:rFonts w:ascii="David" w:hAnsi="David" w:cs="David"/>
          <w:color w:val="000000"/>
          <w:sz w:val="18"/>
          <w:szCs w:val="18"/>
          <w:rtl/>
        </w:rPr>
        <w:t>. פרה שם. ועי' משנ"א שם, שאינו אלא לכתחילה. וצ"ב אם טעמו משום שינוי מראה, או משום חציצה, עי' ציון 214 ואילך, או משום עצם מה שמעורב דבר במים, ועי' חזו"א פרה שם ס"ק יט.</w:t>
      </w:r>
    </w:p>
  </w:footnote>
  <w:footnote w:id="818">
    <w:p w14:paraId="5E222D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818</w:t>
      </w:r>
      <w:r>
        <w:rPr>
          <w:rFonts w:ascii="David" w:hAnsi="David" w:cs="David"/>
          <w:sz w:val="24"/>
          <w:szCs w:val="24"/>
          <w:rtl/>
        </w:rPr>
        <w:t xml:space="preserve"> </w:t>
      </w:r>
      <w:r>
        <w:rPr>
          <w:rFonts w:ascii="David" w:hAnsi="David" w:cs="David"/>
          <w:color w:val="000000"/>
          <w:sz w:val="18"/>
          <w:szCs w:val="18"/>
          <w:rtl/>
        </w:rPr>
        <w:t>. פרה שם. ועי' תוי"ט שם, שהטעם שאינם כמי ביצים שבמ"י שם, הוא משום שאינם מעורבים בטבעם, ועי' תפא"י שם בועז אות ח, ומשנ"א שם מ"י וחזו"א שם.</w:t>
      </w:r>
    </w:p>
  </w:footnote>
  <w:footnote w:id="819">
    <w:p w14:paraId="602A6DC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819</w:t>
      </w:r>
      <w:r>
        <w:rPr>
          <w:rFonts w:ascii="David" w:hAnsi="David" w:cs="David"/>
          <w:sz w:val="24"/>
          <w:szCs w:val="24"/>
          <w:rtl/>
        </w:rPr>
        <w:t xml:space="preserve"> </w:t>
      </w:r>
      <w:r>
        <w:rPr>
          <w:rFonts w:ascii="David" w:hAnsi="David" w:cs="David"/>
          <w:color w:val="000000"/>
          <w:sz w:val="18"/>
          <w:szCs w:val="18"/>
          <w:rtl/>
        </w:rPr>
        <w:t>. פהמ"ש שם מי"א; רע"ב שם; רמב"ם שם הט"ו.</w:t>
      </w:r>
    </w:p>
  </w:footnote>
  <w:footnote w:id="820">
    <w:p w14:paraId="56C36CB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820</w:t>
      </w:r>
      <w:r>
        <w:rPr>
          <w:rFonts w:ascii="David" w:hAnsi="David" w:cs="David"/>
          <w:sz w:val="24"/>
          <w:szCs w:val="24"/>
          <w:rtl/>
        </w:rPr>
        <w:t xml:space="preserve"> </w:t>
      </w:r>
      <w:r>
        <w:rPr>
          <w:rFonts w:ascii="David" w:hAnsi="David" w:cs="David"/>
          <w:color w:val="000000"/>
          <w:sz w:val="18"/>
          <w:szCs w:val="18"/>
          <w:rtl/>
        </w:rPr>
        <w:t>. עי' רמב"ם שם (ע"פ תוספ' שם פ"ט, הובאה בר"ש שם) וכס"מ שם בביאורו.</w:t>
      </w:r>
    </w:p>
  </w:footnote>
  <w:footnote w:id="821">
    <w:p w14:paraId="222EDC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821</w:t>
      </w:r>
      <w:r>
        <w:rPr>
          <w:rFonts w:ascii="David" w:hAnsi="David" w:cs="David"/>
          <w:sz w:val="24"/>
          <w:szCs w:val="24"/>
          <w:rtl/>
        </w:rPr>
        <w:t xml:space="preserve"> </w:t>
      </w:r>
      <w:r>
        <w:rPr>
          <w:rFonts w:ascii="David" w:hAnsi="David" w:cs="David"/>
          <w:color w:val="000000"/>
          <w:sz w:val="18"/>
          <w:szCs w:val="18"/>
          <w:rtl/>
        </w:rPr>
        <w:t>. עי' כס"מ שם, בשם ר"י קורקוס, וכעי"ז בר"ש שם, ולכאו' היינו שלכן חשוב שינוי מחמת עצמם, אבל אפשר שכוונתם שלכן נפסל משום תערובת, ועי' חזו"א שם. ועי' חזו"נ ומים טהורים פרה שם.</w:t>
      </w:r>
    </w:p>
  </w:footnote>
  <w:footnote w:id="822">
    <w:p w14:paraId="7ADAB93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822</w:t>
      </w:r>
      <w:r>
        <w:rPr>
          <w:rFonts w:ascii="David" w:hAnsi="David" w:cs="David"/>
          <w:sz w:val="24"/>
          <w:szCs w:val="24"/>
          <w:rtl/>
        </w:rPr>
        <w:t xml:space="preserve"> </w:t>
      </w:r>
      <w:r>
        <w:rPr>
          <w:rFonts w:ascii="David" w:hAnsi="David" w:cs="David"/>
          <w:color w:val="000000"/>
          <w:sz w:val="18"/>
          <w:szCs w:val="18"/>
          <w:rtl/>
        </w:rPr>
        <w:t>. תפא"י הלכתא גבירתא שם.</w:t>
      </w:r>
    </w:p>
  </w:footnote>
  <w:footnote w:id="823">
    <w:p w14:paraId="340115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823</w:t>
      </w:r>
      <w:r>
        <w:rPr>
          <w:rFonts w:ascii="David" w:hAnsi="David" w:cs="David"/>
          <w:sz w:val="24"/>
          <w:szCs w:val="24"/>
          <w:rtl/>
        </w:rPr>
        <w:t xml:space="preserve"> </w:t>
      </w:r>
      <w:r>
        <w:rPr>
          <w:rFonts w:ascii="David" w:hAnsi="David" w:cs="David"/>
          <w:color w:val="000000"/>
          <w:sz w:val="18"/>
          <w:szCs w:val="18"/>
          <w:rtl/>
        </w:rPr>
        <w:t>. חזו"א שם, וצידד שדוקא משום שעומד לכך, אינו שינוי מראה גמור. וע"ש שבמים שבצלוחית נפסל המילוי, ואין חוזר להכשרו.</w:t>
      </w:r>
    </w:p>
  </w:footnote>
  <w:footnote w:id="824">
    <w:p w14:paraId="28964C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824</w:t>
      </w:r>
      <w:r>
        <w:rPr>
          <w:rFonts w:ascii="David" w:hAnsi="David" w:cs="David"/>
          <w:sz w:val="24"/>
          <w:szCs w:val="24"/>
          <w:rtl/>
        </w:rPr>
        <w:t xml:space="preserve"> </w:t>
      </w:r>
      <w:r>
        <w:rPr>
          <w:rFonts w:ascii="David" w:hAnsi="David" w:cs="David"/>
          <w:color w:val="000000"/>
          <w:sz w:val="18"/>
          <w:szCs w:val="18"/>
          <w:rtl/>
        </w:rPr>
        <w:t>. חס"ד שם.</w:t>
      </w:r>
    </w:p>
  </w:footnote>
  <w:footnote w:id="825">
    <w:p w14:paraId="28F6D7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825</w:t>
      </w:r>
      <w:r>
        <w:rPr>
          <w:rFonts w:ascii="David" w:hAnsi="David" w:cs="David"/>
          <w:sz w:val="24"/>
          <w:szCs w:val="24"/>
          <w:rtl/>
        </w:rPr>
        <w:t xml:space="preserve"> </w:t>
      </w:r>
      <w:r>
        <w:rPr>
          <w:rFonts w:ascii="David" w:hAnsi="David" w:cs="David"/>
          <w:color w:val="000000"/>
          <w:sz w:val="18"/>
          <w:szCs w:val="18"/>
          <w:rtl/>
        </w:rPr>
        <w:t>. פרה פ"ט מ"ב; רמב"ם פרה פ"ט הי"א. ועי' חזו"א פרה סי' יג ס"ק י, בטעם שאין לפוסלם משום שהשקצים טמאים לחטאת.</w:t>
      </w:r>
    </w:p>
  </w:footnote>
  <w:footnote w:id="826">
    <w:p w14:paraId="20ACF3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826</w:t>
      </w:r>
      <w:r>
        <w:rPr>
          <w:rFonts w:ascii="David" w:hAnsi="David" w:cs="David"/>
          <w:sz w:val="24"/>
          <w:szCs w:val="24"/>
          <w:rtl/>
        </w:rPr>
        <w:t xml:space="preserve"> </w:t>
      </w:r>
      <w:r>
        <w:rPr>
          <w:rFonts w:ascii="David" w:hAnsi="David" w:cs="David"/>
          <w:color w:val="000000"/>
          <w:sz w:val="18"/>
          <w:szCs w:val="18"/>
          <w:rtl/>
        </w:rPr>
        <w:t>. רמב"ם שם, וע"ש שמ' שתלוי במח' שבציון 844 ואילך, ועי' מים טהורים שם, שהיתה לרמב"ם גי' אחרת במשנה.</w:t>
      </w:r>
    </w:p>
  </w:footnote>
  <w:footnote w:id="827">
    <w:p w14:paraId="26116D0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827</w:t>
      </w:r>
      <w:r>
        <w:rPr>
          <w:rFonts w:ascii="David" w:hAnsi="David" w:cs="David"/>
          <w:sz w:val="24"/>
          <w:szCs w:val="24"/>
          <w:rtl/>
        </w:rPr>
        <w:t xml:space="preserve"> </w:t>
      </w:r>
      <w:r>
        <w:rPr>
          <w:rFonts w:ascii="David" w:hAnsi="David" w:cs="David"/>
          <w:color w:val="000000"/>
          <w:sz w:val="18"/>
          <w:szCs w:val="18"/>
          <w:rtl/>
        </w:rPr>
        <w:t>. תפא"י שם אות יב. ועי' ציון 724, שתערובת מים שאינם מקודשים פוסלת, לד' חכמים, ועי' ציון 751, שר' אליעזר חולק, ועי' משנ"א שם, אם דין המשנה אף לדעתו. ועי' ציון הבא.</w:t>
      </w:r>
    </w:p>
  </w:footnote>
  <w:footnote w:id="828">
    <w:p w14:paraId="0590FE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828</w:t>
      </w:r>
      <w:r>
        <w:rPr>
          <w:rFonts w:ascii="David" w:hAnsi="David" w:cs="David"/>
          <w:sz w:val="24"/>
          <w:szCs w:val="24"/>
          <w:rtl/>
        </w:rPr>
        <w:t xml:space="preserve"> </w:t>
      </w:r>
      <w:r>
        <w:rPr>
          <w:rFonts w:ascii="David" w:hAnsi="David" w:cs="David"/>
          <w:color w:val="000000"/>
          <w:sz w:val="18"/>
          <w:szCs w:val="18"/>
          <w:rtl/>
        </w:rPr>
        <w:t>. עי' ציון 709 ואילך. משנ"א שם (ועי' ציון הנ"ל), ועי' חזו"א שם.</w:t>
      </w:r>
    </w:p>
  </w:footnote>
  <w:footnote w:id="829">
    <w:p w14:paraId="268488A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829</w:t>
      </w:r>
      <w:r>
        <w:rPr>
          <w:rFonts w:ascii="David" w:hAnsi="David" w:cs="David"/>
          <w:sz w:val="24"/>
          <w:szCs w:val="24"/>
          <w:rtl/>
        </w:rPr>
        <w:t xml:space="preserve"> </w:t>
      </w:r>
      <w:r>
        <w:rPr>
          <w:rFonts w:ascii="David" w:hAnsi="David" w:cs="David"/>
          <w:color w:val="000000"/>
          <w:sz w:val="18"/>
          <w:szCs w:val="18"/>
          <w:rtl/>
        </w:rPr>
        <w:t>. עי' משנה שם, ופהמ"ש לרמב"ם ורע"ב שם, ועי' רש"ש שם שפי' שנשתנו מראיהם של השקצים; עי' רמב"ם שם.</w:t>
      </w:r>
    </w:p>
  </w:footnote>
  <w:footnote w:id="830">
    <w:p w14:paraId="457C452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830</w:t>
      </w:r>
      <w:r>
        <w:rPr>
          <w:rFonts w:ascii="David" w:hAnsi="David" w:cs="David"/>
          <w:sz w:val="24"/>
          <w:szCs w:val="24"/>
          <w:rtl/>
        </w:rPr>
        <w:t xml:space="preserve"> </w:t>
      </w:r>
      <w:r>
        <w:rPr>
          <w:rFonts w:ascii="David" w:hAnsi="David" w:cs="David"/>
          <w:color w:val="000000"/>
          <w:sz w:val="18"/>
          <w:szCs w:val="18"/>
          <w:rtl/>
        </w:rPr>
        <w:t>. תפא"י שם אות יג. ועי' ציון 815.</w:t>
      </w:r>
    </w:p>
  </w:footnote>
  <w:footnote w:id="831">
    <w:p w14:paraId="4B7640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831</w:t>
      </w:r>
      <w:r>
        <w:rPr>
          <w:rFonts w:ascii="David" w:hAnsi="David" w:cs="David"/>
          <w:sz w:val="24"/>
          <w:szCs w:val="24"/>
          <w:rtl/>
        </w:rPr>
        <w:t xml:space="preserve"> </w:t>
      </w:r>
      <w:r>
        <w:rPr>
          <w:rFonts w:ascii="David" w:hAnsi="David" w:cs="David"/>
          <w:color w:val="000000"/>
          <w:sz w:val="18"/>
          <w:szCs w:val="18"/>
          <w:rtl/>
        </w:rPr>
        <w:t>. עי' ציון הנ"ל. מער"ק שם הי"ג.</w:t>
      </w:r>
    </w:p>
  </w:footnote>
  <w:footnote w:id="832">
    <w:p w14:paraId="12A13C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832</w:t>
      </w:r>
      <w:r>
        <w:rPr>
          <w:rFonts w:ascii="David" w:hAnsi="David" w:cs="David"/>
          <w:sz w:val="24"/>
          <w:szCs w:val="24"/>
          <w:rtl/>
        </w:rPr>
        <w:t xml:space="preserve"> </w:t>
      </w:r>
      <w:r>
        <w:rPr>
          <w:rFonts w:ascii="David" w:hAnsi="David" w:cs="David"/>
          <w:color w:val="000000"/>
          <w:sz w:val="18"/>
          <w:szCs w:val="18"/>
          <w:rtl/>
        </w:rPr>
        <w:t>. רע"ב שם, וכעי"ז בערוך ע' חפושית, וע"ש איך היא נקראת בל' ישמעאל.</w:t>
      </w:r>
    </w:p>
  </w:footnote>
  <w:footnote w:id="833">
    <w:p w14:paraId="4E91A1D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833</w:t>
      </w:r>
      <w:r>
        <w:rPr>
          <w:rFonts w:ascii="David" w:hAnsi="David" w:cs="David"/>
          <w:sz w:val="24"/>
          <w:szCs w:val="24"/>
          <w:rtl/>
        </w:rPr>
        <w:t xml:space="preserve"> </w:t>
      </w:r>
      <w:r>
        <w:rPr>
          <w:rFonts w:ascii="David" w:hAnsi="David" w:cs="David"/>
          <w:color w:val="000000"/>
          <w:sz w:val="18"/>
          <w:szCs w:val="18"/>
          <w:rtl/>
        </w:rPr>
        <w:t>. רמב"ם שם הי"א ופהמ"ש שם, וכן מוכרח במשנה שם, ועי' חזו"נ שם.</w:t>
      </w:r>
    </w:p>
  </w:footnote>
  <w:footnote w:id="834">
    <w:p w14:paraId="43FB9F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834</w:t>
      </w:r>
      <w:r>
        <w:rPr>
          <w:rFonts w:ascii="David" w:hAnsi="David" w:cs="David"/>
          <w:sz w:val="24"/>
          <w:szCs w:val="24"/>
          <w:rtl/>
        </w:rPr>
        <w:t xml:space="preserve"> </w:t>
      </w:r>
      <w:r>
        <w:rPr>
          <w:rFonts w:ascii="David" w:hAnsi="David" w:cs="David"/>
          <w:color w:val="000000"/>
          <w:sz w:val="18"/>
          <w:szCs w:val="18"/>
          <w:rtl/>
        </w:rPr>
        <w:t>. עי' משנה שם; רמב"ם שם.</w:t>
      </w:r>
    </w:p>
  </w:footnote>
  <w:footnote w:id="835">
    <w:p w14:paraId="2712D5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835</w:t>
      </w:r>
      <w:r>
        <w:rPr>
          <w:rFonts w:ascii="David" w:hAnsi="David" w:cs="David"/>
          <w:sz w:val="24"/>
          <w:szCs w:val="24"/>
          <w:rtl/>
        </w:rPr>
        <w:t xml:space="preserve"> </w:t>
      </w:r>
      <w:r>
        <w:rPr>
          <w:rFonts w:ascii="David" w:hAnsi="David" w:cs="David"/>
          <w:color w:val="000000"/>
          <w:sz w:val="18"/>
          <w:szCs w:val="18"/>
          <w:rtl/>
        </w:rPr>
        <w:t>. תפא"י שם אות טז.</w:t>
      </w:r>
    </w:p>
  </w:footnote>
  <w:footnote w:id="836">
    <w:p w14:paraId="18A3C5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836</w:t>
      </w:r>
      <w:r>
        <w:rPr>
          <w:rFonts w:ascii="David" w:hAnsi="David" w:cs="David"/>
          <w:sz w:val="24"/>
          <w:szCs w:val="24"/>
          <w:rtl/>
        </w:rPr>
        <w:t xml:space="preserve"> </w:t>
      </w:r>
      <w:r>
        <w:rPr>
          <w:rFonts w:ascii="David" w:hAnsi="David" w:cs="David"/>
          <w:color w:val="000000"/>
          <w:sz w:val="18"/>
          <w:szCs w:val="18"/>
          <w:rtl/>
        </w:rPr>
        <w:t>. רמב"ם שם; תפא"י שם. ועי' ציון 868.</w:t>
      </w:r>
    </w:p>
  </w:footnote>
  <w:footnote w:id="837">
    <w:p w14:paraId="5DE6F6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837</w:t>
      </w:r>
      <w:r>
        <w:rPr>
          <w:rFonts w:ascii="David" w:hAnsi="David" w:cs="David"/>
          <w:sz w:val="24"/>
          <w:szCs w:val="24"/>
          <w:rtl/>
        </w:rPr>
        <w:t xml:space="preserve"> </w:t>
      </w:r>
      <w:r>
        <w:rPr>
          <w:rFonts w:ascii="David" w:hAnsi="David" w:cs="David"/>
          <w:color w:val="000000"/>
          <w:sz w:val="18"/>
          <w:szCs w:val="18"/>
          <w:rtl/>
        </w:rPr>
        <w:t>. תוספתא פרה פ"ט, הובאה בר"ש פרה שם.</w:t>
      </w:r>
    </w:p>
  </w:footnote>
  <w:footnote w:id="838">
    <w:p w14:paraId="0095EC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838</w:t>
      </w:r>
      <w:r>
        <w:rPr>
          <w:rFonts w:ascii="David" w:hAnsi="David" w:cs="David"/>
          <w:sz w:val="24"/>
          <w:szCs w:val="24"/>
          <w:rtl/>
        </w:rPr>
        <w:t xml:space="preserve"> </w:t>
      </w:r>
      <w:r>
        <w:rPr>
          <w:rFonts w:ascii="David" w:hAnsi="David" w:cs="David"/>
          <w:color w:val="000000"/>
          <w:sz w:val="18"/>
          <w:szCs w:val="18"/>
          <w:rtl/>
        </w:rPr>
        <w:t>. עי' ר"ש שם.</w:t>
      </w:r>
    </w:p>
  </w:footnote>
  <w:footnote w:id="839">
    <w:p w14:paraId="129D3F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839</w:t>
      </w:r>
      <w:r>
        <w:rPr>
          <w:rFonts w:ascii="David" w:hAnsi="David" w:cs="David"/>
          <w:sz w:val="24"/>
          <w:szCs w:val="24"/>
          <w:rtl/>
        </w:rPr>
        <w:t xml:space="preserve"> </w:t>
      </w:r>
      <w:r>
        <w:rPr>
          <w:rFonts w:ascii="David" w:hAnsi="David" w:cs="David"/>
          <w:color w:val="000000"/>
          <w:sz w:val="18"/>
          <w:szCs w:val="18"/>
          <w:rtl/>
        </w:rPr>
        <w:t>. בהגר"א שם.</w:t>
      </w:r>
    </w:p>
  </w:footnote>
  <w:footnote w:id="840">
    <w:p w14:paraId="358FCED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840</w:t>
      </w:r>
      <w:r>
        <w:rPr>
          <w:rFonts w:ascii="David" w:hAnsi="David" w:cs="David"/>
          <w:sz w:val="24"/>
          <w:szCs w:val="24"/>
          <w:rtl/>
        </w:rPr>
        <w:t xml:space="preserve"> </w:t>
      </w:r>
      <w:r>
        <w:rPr>
          <w:rFonts w:ascii="David" w:hAnsi="David" w:cs="David"/>
          <w:color w:val="000000"/>
          <w:sz w:val="18"/>
          <w:szCs w:val="18"/>
          <w:rtl/>
        </w:rPr>
        <w:t>. ר"ש שם.</w:t>
      </w:r>
    </w:p>
  </w:footnote>
  <w:footnote w:id="841">
    <w:p w14:paraId="68FFF9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841</w:t>
      </w:r>
      <w:r>
        <w:rPr>
          <w:rFonts w:ascii="David" w:hAnsi="David" w:cs="David"/>
          <w:sz w:val="24"/>
          <w:szCs w:val="24"/>
          <w:rtl/>
        </w:rPr>
        <w:t xml:space="preserve"> </w:t>
      </w:r>
      <w:r>
        <w:rPr>
          <w:rFonts w:ascii="David" w:hAnsi="David" w:cs="David"/>
          <w:color w:val="000000"/>
          <w:sz w:val="18"/>
          <w:szCs w:val="18"/>
          <w:rtl/>
        </w:rPr>
        <w:t>. תוספתא שם, לגי' ר"ש שם, ולפנינו קצת בע"א, ועי' הג' הגר"א שם. ועי' חזו"א פרה סוס"י ז, בד' ת"ק, ועי' ציון 868.</w:t>
      </w:r>
    </w:p>
  </w:footnote>
  <w:footnote w:id="842">
    <w:p w14:paraId="3F1258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842</w:t>
      </w:r>
      <w:r>
        <w:rPr>
          <w:rFonts w:ascii="David" w:hAnsi="David" w:cs="David"/>
          <w:sz w:val="24"/>
          <w:szCs w:val="24"/>
          <w:rtl/>
        </w:rPr>
        <w:t xml:space="preserve"> </w:t>
      </w:r>
      <w:r>
        <w:rPr>
          <w:rFonts w:ascii="David" w:hAnsi="David" w:cs="David"/>
          <w:color w:val="000000"/>
          <w:sz w:val="18"/>
          <w:szCs w:val="18"/>
          <w:rtl/>
        </w:rPr>
        <w:t>. כ"ה במשנה שם לגי' שלפנינו, וכ"ה גי' הערוך ע' דרא ורמב"ן חולין ט ב, ועי' מלאכ"ש פרה שם, שגי' הרמב"ם שם רירה, ועי' ילקוט שנו"ס (פרנקל) שם, ועי' אגודה שם: רידא.</w:t>
      </w:r>
    </w:p>
  </w:footnote>
  <w:footnote w:id="843">
    <w:p w14:paraId="3DD7DD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843</w:t>
      </w:r>
      <w:r>
        <w:rPr>
          <w:rFonts w:ascii="David" w:hAnsi="David" w:cs="David"/>
          <w:sz w:val="24"/>
          <w:szCs w:val="24"/>
          <w:rtl/>
        </w:rPr>
        <w:t xml:space="preserve"> </w:t>
      </w:r>
      <w:r>
        <w:rPr>
          <w:rFonts w:ascii="David" w:hAnsi="David" w:cs="David"/>
          <w:color w:val="000000"/>
          <w:sz w:val="18"/>
          <w:szCs w:val="18"/>
          <w:rtl/>
        </w:rPr>
        <w:t>. ערוך שם; רע"ב שם.</w:t>
      </w:r>
    </w:p>
  </w:footnote>
  <w:footnote w:id="844">
    <w:p w14:paraId="1D654A9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844</w:t>
      </w:r>
      <w:r>
        <w:rPr>
          <w:rFonts w:ascii="David" w:hAnsi="David" w:cs="David"/>
          <w:sz w:val="24"/>
          <w:szCs w:val="24"/>
          <w:rtl/>
        </w:rPr>
        <w:t xml:space="preserve"> </w:t>
      </w:r>
      <w:r>
        <w:rPr>
          <w:rFonts w:ascii="David" w:hAnsi="David" w:cs="David"/>
          <w:color w:val="000000"/>
          <w:sz w:val="18"/>
          <w:szCs w:val="18"/>
          <w:rtl/>
        </w:rPr>
        <w:t>. עי' משנה שם.</w:t>
      </w:r>
    </w:p>
  </w:footnote>
  <w:footnote w:id="845">
    <w:p w14:paraId="51EAFDA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845</w:t>
      </w:r>
      <w:r>
        <w:rPr>
          <w:rFonts w:ascii="David" w:hAnsi="David" w:cs="David"/>
          <w:sz w:val="24"/>
          <w:szCs w:val="24"/>
          <w:rtl/>
        </w:rPr>
        <w:t xml:space="preserve"> </w:t>
      </w:r>
      <w:r>
        <w:rPr>
          <w:rFonts w:ascii="David" w:hAnsi="David" w:cs="David"/>
          <w:color w:val="000000"/>
          <w:sz w:val="18"/>
          <w:szCs w:val="18"/>
          <w:rtl/>
        </w:rPr>
        <w:t>. רע"ב שם, ועי' ציון 847.</w:t>
      </w:r>
    </w:p>
  </w:footnote>
  <w:footnote w:id="846">
    <w:p w14:paraId="3F130E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846</w:t>
      </w:r>
      <w:r>
        <w:rPr>
          <w:rFonts w:ascii="David" w:hAnsi="David" w:cs="David"/>
          <w:sz w:val="24"/>
          <w:szCs w:val="24"/>
          <w:rtl/>
        </w:rPr>
        <w:t xml:space="preserve"> </w:t>
      </w:r>
      <w:r>
        <w:rPr>
          <w:rFonts w:ascii="David" w:hAnsi="David" w:cs="David"/>
          <w:color w:val="000000"/>
          <w:sz w:val="18"/>
          <w:szCs w:val="18"/>
          <w:rtl/>
        </w:rPr>
        <w:t>. תפא"י שם אות יח. והיינו לשיטתו בציון 830, ולמער"ק שבציון 831, פסול משום שינוי מראה.</w:t>
      </w:r>
    </w:p>
  </w:footnote>
  <w:footnote w:id="847">
    <w:p w14:paraId="5919414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847</w:t>
      </w:r>
      <w:r>
        <w:rPr>
          <w:rFonts w:ascii="David" w:hAnsi="David" w:cs="David"/>
          <w:sz w:val="24"/>
          <w:szCs w:val="24"/>
          <w:rtl/>
        </w:rPr>
        <w:t xml:space="preserve"> </w:t>
      </w:r>
      <w:r>
        <w:rPr>
          <w:rFonts w:ascii="David" w:hAnsi="David" w:cs="David"/>
          <w:color w:val="000000"/>
          <w:sz w:val="18"/>
          <w:szCs w:val="18"/>
          <w:rtl/>
        </w:rPr>
        <w:t>. עי' פהמ"ש ורמב"ם שם וכס"מ שם; עי' רע"ב שם.</w:t>
      </w:r>
    </w:p>
  </w:footnote>
  <w:footnote w:id="848">
    <w:p w14:paraId="38E9D9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848</w:t>
      </w:r>
      <w:r>
        <w:rPr>
          <w:rFonts w:ascii="David" w:hAnsi="David" w:cs="David"/>
          <w:sz w:val="24"/>
          <w:szCs w:val="24"/>
          <w:rtl/>
        </w:rPr>
        <w:t xml:space="preserve"> </w:t>
      </w:r>
      <w:r>
        <w:rPr>
          <w:rFonts w:ascii="David" w:hAnsi="David" w:cs="David"/>
          <w:color w:val="000000"/>
          <w:sz w:val="18"/>
          <w:szCs w:val="18"/>
          <w:rtl/>
        </w:rPr>
        <w:t>. תפא"י שם. ואולי היינו שמחמת המאיסות, אין אומרים שמשהו הליחה שבהם (עי' לעיל) כמי שאינו. ועי' רמב"ם שם.</w:t>
      </w:r>
    </w:p>
  </w:footnote>
  <w:footnote w:id="849">
    <w:p w14:paraId="7E5BDA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849</w:t>
      </w:r>
      <w:r>
        <w:rPr>
          <w:rFonts w:ascii="David" w:hAnsi="David" w:cs="David"/>
          <w:sz w:val="24"/>
          <w:szCs w:val="24"/>
          <w:rtl/>
        </w:rPr>
        <w:t xml:space="preserve"> </w:t>
      </w:r>
      <w:r>
        <w:rPr>
          <w:rFonts w:ascii="David" w:hAnsi="David" w:cs="David"/>
          <w:color w:val="000000"/>
          <w:sz w:val="18"/>
          <w:szCs w:val="18"/>
          <w:rtl/>
        </w:rPr>
        <w:t>. רמב"ם שם; רע"ב שם. ועי' חזו"א פרה סי' יג ס"ק י, שתמה שהרי משנת ראב"י קב ונקי, ע"ע הלכה: משנת ראב"י.</w:t>
      </w:r>
    </w:p>
  </w:footnote>
  <w:footnote w:id="850">
    <w:p w14:paraId="24CC186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850</w:t>
      </w:r>
      <w:r>
        <w:rPr>
          <w:rFonts w:ascii="David" w:hAnsi="David" w:cs="David"/>
          <w:sz w:val="24"/>
          <w:szCs w:val="24"/>
          <w:rtl/>
        </w:rPr>
        <w:t xml:space="preserve"> </w:t>
      </w:r>
      <w:r>
        <w:rPr>
          <w:rFonts w:ascii="David" w:hAnsi="David" w:cs="David"/>
          <w:color w:val="000000"/>
          <w:sz w:val="18"/>
          <w:szCs w:val="18"/>
          <w:rtl/>
        </w:rPr>
        <w:t>. פרה פ"ט מ"ג; רמב"ם פרה פ"ט הי"ב.</w:t>
      </w:r>
    </w:p>
  </w:footnote>
  <w:footnote w:id="851">
    <w:p w14:paraId="44D1F1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851</w:t>
      </w:r>
      <w:r>
        <w:rPr>
          <w:rFonts w:ascii="David" w:hAnsi="David" w:cs="David"/>
          <w:sz w:val="24"/>
          <w:szCs w:val="24"/>
          <w:rtl/>
        </w:rPr>
        <w:t xml:space="preserve"> </w:t>
      </w:r>
      <w:r>
        <w:rPr>
          <w:rFonts w:ascii="David" w:hAnsi="David" w:cs="David"/>
          <w:color w:val="000000"/>
          <w:sz w:val="18"/>
          <w:szCs w:val="18"/>
          <w:rtl/>
        </w:rPr>
        <w:t>. רש"י גיטין פו ב.</w:t>
      </w:r>
    </w:p>
  </w:footnote>
  <w:footnote w:id="852">
    <w:p w14:paraId="453AF3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852</w:t>
      </w:r>
      <w:r>
        <w:rPr>
          <w:rFonts w:ascii="David" w:hAnsi="David" w:cs="David"/>
          <w:sz w:val="24"/>
          <w:szCs w:val="24"/>
          <w:rtl/>
        </w:rPr>
        <w:t xml:space="preserve"> </w:t>
      </w:r>
      <w:r>
        <w:rPr>
          <w:rFonts w:ascii="David" w:hAnsi="David" w:cs="David"/>
          <w:color w:val="000000"/>
          <w:sz w:val="18"/>
          <w:szCs w:val="18"/>
          <w:rtl/>
        </w:rPr>
        <w:t>. גיטין שם. ולא הובא ברמב"ם, ועי' חזו"נ שם שתמה, ועי' מים חיים שם, שהוא משום שאינו מצוי, ומשום שיש לחוש שיטעו בין גדולה לקטנה, ועי' נובי"ת יו"ד סי' קמג, והערת רי"ש נתנזון שם, שהוא תלוי במחלוקת אמוראים, וע"ש ושם להלכה.</w:t>
      </w:r>
    </w:p>
  </w:footnote>
  <w:footnote w:id="853">
    <w:p w14:paraId="0192DC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853</w:t>
      </w:r>
      <w:r>
        <w:rPr>
          <w:rFonts w:ascii="David" w:hAnsi="David" w:cs="David"/>
          <w:sz w:val="24"/>
          <w:szCs w:val="24"/>
          <w:rtl/>
        </w:rPr>
        <w:t xml:space="preserve"> </w:t>
      </w:r>
      <w:r>
        <w:rPr>
          <w:rFonts w:ascii="David" w:hAnsi="David" w:cs="David"/>
          <w:color w:val="000000"/>
          <w:sz w:val="18"/>
          <w:szCs w:val="18"/>
          <w:rtl/>
        </w:rPr>
        <w:t>. עי' נו"ב שם ובהערת רי"ש נתנזון; עי' כתר המלך שם.</w:t>
      </w:r>
    </w:p>
  </w:footnote>
  <w:footnote w:id="854">
    <w:p w14:paraId="7A221D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854</w:t>
      </w:r>
      <w:r>
        <w:rPr>
          <w:rFonts w:ascii="David" w:hAnsi="David" w:cs="David"/>
          <w:sz w:val="24"/>
          <w:szCs w:val="24"/>
          <w:rtl/>
        </w:rPr>
        <w:t xml:space="preserve"> </w:t>
      </w:r>
      <w:r>
        <w:rPr>
          <w:rFonts w:ascii="David" w:hAnsi="David" w:cs="David"/>
          <w:color w:val="000000"/>
          <w:sz w:val="18"/>
          <w:szCs w:val="18"/>
          <w:rtl/>
        </w:rPr>
        <w:t>. חולין סב ב.</w:t>
      </w:r>
    </w:p>
  </w:footnote>
  <w:footnote w:id="855">
    <w:p w14:paraId="09C618C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855</w:t>
      </w:r>
      <w:r>
        <w:rPr>
          <w:rFonts w:ascii="David" w:hAnsi="David" w:cs="David"/>
          <w:sz w:val="24"/>
          <w:szCs w:val="24"/>
          <w:rtl/>
        </w:rPr>
        <w:t xml:space="preserve"> </w:t>
      </w:r>
      <w:r>
        <w:rPr>
          <w:rFonts w:ascii="David" w:hAnsi="David" w:cs="David"/>
          <w:color w:val="000000"/>
          <w:sz w:val="18"/>
          <w:szCs w:val="18"/>
          <w:rtl/>
        </w:rPr>
        <w:t>. תפא"י שם אות כב.</w:t>
      </w:r>
    </w:p>
  </w:footnote>
  <w:footnote w:id="856">
    <w:p w14:paraId="0FB21A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856</w:t>
      </w:r>
      <w:r>
        <w:rPr>
          <w:rFonts w:ascii="David" w:hAnsi="David" w:cs="David"/>
          <w:sz w:val="24"/>
          <w:szCs w:val="24"/>
          <w:rtl/>
        </w:rPr>
        <w:t xml:space="preserve"> </w:t>
      </w:r>
      <w:r>
        <w:rPr>
          <w:rFonts w:ascii="David" w:hAnsi="David" w:cs="David"/>
          <w:color w:val="000000"/>
          <w:sz w:val="18"/>
          <w:szCs w:val="18"/>
          <w:rtl/>
        </w:rPr>
        <w:t>. עי' פרה שם; רמב"ם שם.</w:t>
      </w:r>
    </w:p>
  </w:footnote>
  <w:footnote w:id="857">
    <w:p w14:paraId="3EA443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857</w:t>
      </w:r>
      <w:r>
        <w:rPr>
          <w:rFonts w:ascii="David" w:hAnsi="David" w:cs="David"/>
          <w:sz w:val="24"/>
          <w:szCs w:val="24"/>
          <w:rtl/>
        </w:rPr>
        <w:t xml:space="preserve"> </w:t>
      </w:r>
      <w:r>
        <w:rPr>
          <w:rFonts w:ascii="David" w:hAnsi="David" w:cs="David"/>
          <w:color w:val="000000"/>
          <w:sz w:val="18"/>
          <w:szCs w:val="18"/>
          <w:rtl/>
        </w:rPr>
        <w:t>. עי' רש"י חולין שם ד"ה תסיל, בפי' הא', לענין תסיל, ועי' מהר"ם שיף שם; רמב"ם שם, ופהמ"ש שם; ר"ש שם, ועי' ציון 1334; תוס' חולין ט ב ד"ה אם בפי' א', ותוס' הרא"ש שם, ושכן מוכח מתוספ' שבציון 881, באדם ששתה; סמ"ג עשין רלב; רמב"ן שם, ועי' להלן; מאירי שם; רא"ש פרה שם; ריטב"א גיטין פו ב; עי' חי' הר"ן פסחים יח א; עי' רע"ב פרה שם. ועי' ראש יוסף חולין שם.</w:t>
      </w:r>
    </w:p>
  </w:footnote>
  <w:footnote w:id="858">
    <w:p w14:paraId="3EC867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858</w:t>
      </w:r>
      <w:r>
        <w:rPr>
          <w:rFonts w:ascii="David" w:hAnsi="David" w:cs="David"/>
          <w:sz w:val="24"/>
          <w:szCs w:val="24"/>
          <w:rtl/>
        </w:rPr>
        <w:t xml:space="preserve"> </w:t>
      </w:r>
      <w:r>
        <w:rPr>
          <w:rFonts w:ascii="David" w:hAnsi="David" w:cs="David"/>
          <w:color w:val="000000"/>
          <w:sz w:val="18"/>
          <w:szCs w:val="18"/>
          <w:rtl/>
        </w:rPr>
        <w:t>. רמב"ם ומאירי ורע"ב שם.</w:t>
      </w:r>
    </w:p>
  </w:footnote>
  <w:footnote w:id="859">
    <w:p w14:paraId="29460CF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859</w:t>
      </w:r>
      <w:r>
        <w:rPr>
          <w:rFonts w:ascii="David" w:hAnsi="David" w:cs="David"/>
          <w:sz w:val="24"/>
          <w:szCs w:val="24"/>
          <w:rtl/>
        </w:rPr>
        <w:t xml:space="preserve"> </w:t>
      </w:r>
      <w:r>
        <w:rPr>
          <w:rFonts w:ascii="David" w:hAnsi="David" w:cs="David"/>
          <w:color w:val="000000"/>
          <w:sz w:val="18"/>
          <w:szCs w:val="18"/>
          <w:rtl/>
        </w:rPr>
        <w:t>. חזו"א פרה סי' יג ס"ק ח. ועי' ציון 709 ואילך.</w:t>
      </w:r>
    </w:p>
  </w:footnote>
  <w:footnote w:id="860">
    <w:p w14:paraId="7F6D0F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860</w:t>
      </w:r>
      <w:r>
        <w:rPr>
          <w:rFonts w:ascii="David" w:hAnsi="David" w:cs="David"/>
          <w:sz w:val="24"/>
          <w:szCs w:val="24"/>
          <w:rtl/>
        </w:rPr>
        <w:t xml:space="preserve"> </w:t>
      </w:r>
      <w:r>
        <w:rPr>
          <w:rFonts w:ascii="David" w:hAnsi="David" w:cs="David"/>
          <w:color w:val="000000"/>
          <w:sz w:val="18"/>
          <w:szCs w:val="18"/>
          <w:rtl/>
        </w:rPr>
        <w:t>. פרה שם. ועי' תוספ' שם פ"ט, שר' יוסי ור"ש הורו כן.</w:t>
      </w:r>
    </w:p>
  </w:footnote>
  <w:footnote w:id="861">
    <w:p w14:paraId="15E9B7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861</w:t>
      </w:r>
      <w:r>
        <w:rPr>
          <w:rFonts w:ascii="David" w:hAnsi="David" w:cs="David"/>
          <w:sz w:val="24"/>
          <w:szCs w:val="24"/>
          <w:rtl/>
        </w:rPr>
        <w:t xml:space="preserve"> </w:t>
      </w:r>
      <w:r>
        <w:rPr>
          <w:rFonts w:ascii="David" w:hAnsi="David" w:cs="David"/>
          <w:color w:val="000000"/>
          <w:sz w:val="18"/>
          <w:szCs w:val="18"/>
          <w:rtl/>
        </w:rPr>
        <w:t>. תפא"י שם אות כה. ועי' חזו"א שם. ועי' ציון 873. וע"ע רוב, שי"מ שלד' ר"ג חוששים למיעוט המצוי.</w:t>
      </w:r>
    </w:p>
  </w:footnote>
  <w:footnote w:id="862">
    <w:p w14:paraId="422366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862</w:t>
      </w:r>
      <w:r>
        <w:rPr>
          <w:rFonts w:ascii="David" w:hAnsi="David" w:cs="David"/>
          <w:sz w:val="24"/>
          <w:szCs w:val="24"/>
          <w:rtl/>
        </w:rPr>
        <w:t xml:space="preserve"> </w:t>
      </w:r>
      <w:r>
        <w:rPr>
          <w:rFonts w:ascii="David" w:hAnsi="David" w:cs="David"/>
          <w:color w:val="000000"/>
          <w:sz w:val="18"/>
          <w:szCs w:val="18"/>
          <w:rtl/>
        </w:rPr>
        <w:t>. עי' ריטב"א שם. וכ"מ בתוס' חולין שם ומאירי שם, שגרסו אף לענין חולדה "מפני שהיא מקיאה", ופי' שהיינו משום רוק שבפיה. ועי' ציון 269.</w:t>
      </w:r>
    </w:p>
  </w:footnote>
  <w:footnote w:id="863">
    <w:p w14:paraId="632F4D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863</w:t>
      </w:r>
      <w:r>
        <w:rPr>
          <w:rFonts w:ascii="David" w:hAnsi="David" w:cs="David"/>
          <w:sz w:val="24"/>
          <w:szCs w:val="24"/>
          <w:rtl/>
        </w:rPr>
        <w:t xml:space="preserve"> </w:t>
      </w:r>
      <w:r>
        <w:rPr>
          <w:rFonts w:ascii="David" w:hAnsi="David" w:cs="David"/>
          <w:color w:val="000000"/>
          <w:sz w:val="18"/>
          <w:szCs w:val="18"/>
          <w:rtl/>
        </w:rPr>
        <w:t>. עי' רמב"ם שם שלא הביאו, ועי' כס"מ שם, שהיינו מפני שהל' כסתם משנה, ועי' חזו"א שם, ועי' שושנים לדוד שם, ומה שהעירו ע"ז בס' המפתח (פרנקל) שם, ועי' ציון הבא.</w:t>
      </w:r>
    </w:p>
  </w:footnote>
  <w:footnote w:id="864">
    <w:p w14:paraId="28B6B68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864</w:t>
      </w:r>
      <w:r>
        <w:rPr>
          <w:rFonts w:ascii="David" w:hAnsi="David" w:cs="David"/>
          <w:sz w:val="24"/>
          <w:szCs w:val="24"/>
          <w:rtl/>
        </w:rPr>
        <w:t xml:space="preserve"> </w:t>
      </w:r>
      <w:r>
        <w:rPr>
          <w:rFonts w:ascii="David" w:hAnsi="David" w:cs="David"/>
          <w:color w:val="000000"/>
          <w:sz w:val="18"/>
          <w:szCs w:val="18"/>
          <w:rtl/>
        </w:rPr>
        <w:t>. פהמ"ש לרמב"ם שם, ועי' ציון הקודם, ועי' תוי"ט שם וחזו"א שם; רע"ב שם. וכ"מ בר"ש שם. ועי' כס"מ ותוי"ט שם, שהיינו ע"פ תוספ' פרה פ"ט: נראין דברי ר"ג בנחש, ועי' חזו"א שם ותפא"י שם פי"א אות ה ובועז אות ג.</w:t>
      </w:r>
    </w:p>
  </w:footnote>
  <w:footnote w:id="865">
    <w:p w14:paraId="048554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865</w:t>
      </w:r>
      <w:r>
        <w:rPr>
          <w:rFonts w:ascii="David" w:hAnsi="David" w:cs="David"/>
          <w:sz w:val="24"/>
          <w:szCs w:val="24"/>
          <w:rtl/>
        </w:rPr>
        <w:t xml:space="preserve"> </w:t>
      </w:r>
      <w:r>
        <w:rPr>
          <w:rFonts w:ascii="David" w:hAnsi="David" w:cs="David"/>
          <w:color w:val="000000"/>
          <w:sz w:val="18"/>
          <w:szCs w:val="18"/>
          <w:rtl/>
        </w:rPr>
        <w:t>. משנה פ"ט שם.</w:t>
      </w:r>
    </w:p>
  </w:footnote>
  <w:footnote w:id="866">
    <w:p w14:paraId="0A087FB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866</w:t>
      </w:r>
      <w:r>
        <w:rPr>
          <w:rFonts w:ascii="David" w:hAnsi="David" w:cs="David"/>
          <w:sz w:val="24"/>
          <w:szCs w:val="24"/>
          <w:rtl/>
        </w:rPr>
        <w:t xml:space="preserve"> </w:t>
      </w:r>
      <w:r>
        <w:rPr>
          <w:rFonts w:ascii="David" w:hAnsi="David" w:cs="David"/>
          <w:color w:val="000000"/>
          <w:sz w:val="18"/>
          <w:szCs w:val="18"/>
          <w:rtl/>
        </w:rPr>
        <w:t>. עי' תפא"י שם אות כה. ועי' מחצה"ש סי' תסו ס"ק ט וחזו"א שם. וע"ע הנ"ל, שי"מ שהוא משום שלד' ר"א חוששים למיעוט.</w:t>
      </w:r>
    </w:p>
  </w:footnote>
  <w:footnote w:id="867">
    <w:p w14:paraId="0318133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867</w:t>
      </w:r>
      <w:r>
        <w:rPr>
          <w:rFonts w:ascii="David" w:hAnsi="David" w:cs="David"/>
          <w:sz w:val="24"/>
          <w:szCs w:val="24"/>
          <w:rtl/>
        </w:rPr>
        <w:t xml:space="preserve"> </w:t>
      </w:r>
      <w:r>
        <w:rPr>
          <w:rFonts w:ascii="David" w:hAnsi="David" w:cs="David"/>
          <w:color w:val="000000"/>
          <w:sz w:val="18"/>
          <w:szCs w:val="18"/>
          <w:rtl/>
        </w:rPr>
        <w:t>. עי' תוס' ותוס' הרא"ש חולין שם, ופי' שלד' ר' אליעזר, לשיטתו שבציון 751, אין המים פסולים אלא בהזאה אחת, אבל אם היזה ב' הזאות טיהר, ועי' ר"ש שם, ועי' חזו"א שם.</w:t>
      </w:r>
    </w:p>
  </w:footnote>
  <w:footnote w:id="868">
    <w:p w14:paraId="4DA675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868</w:t>
      </w:r>
      <w:r>
        <w:rPr>
          <w:rFonts w:ascii="David" w:hAnsi="David" w:cs="David"/>
          <w:sz w:val="24"/>
          <w:szCs w:val="24"/>
          <w:rtl/>
        </w:rPr>
        <w:t xml:space="preserve"> </w:t>
      </w:r>
      <w:r>
        <w:rPr>
          <w:rFonts w:ascii="David" w:hAnsi="David" w:cs="David"/>
          <w:color w:val="000000"/>
          <w:sz w:val="18"/>
          <w:szCs w:val="18"/>
          <w:rtl/>
        </w:rPr>
        <w:t>. ציונים 43, 77, (ועי' ציונים 56 ואילך, 82 ואילך, אם לטעמים אלו אף מים מקודשים נפסלים בכך), 259, 268 ואילך. ועי' ציון 269, שד' הרמב"ן שפסול נחש הוא מטעם אחר, אף על פי שלענין שאר בע"ח סובר שהפסול משום תערובת, עי' לעיל. ועי' חזו"א פרה סוס"י ז, שהטעם שלא חששו לרוק (והביא מציון 834 ואילך), הוא משום שפעמים לא חששו לספק משהו.</w:t>
      </w:r>
    </w:p>
  </w:footnote>
  <w:footnote w:id="869">
    <w:p w14:paraId="05E583E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869</w:t>
      </w:r>
      <w:r>
        <w:rPr>
          <w:rFonts w:ascii="David" w:hAnsi="David" w:cs="David"/>
          <w:sz w:val="24"/>
          <w:szCs w:val="24"/>
          <w:rtl/>
        </w:rPr>
        <w:t xml:space="preserve"> </w:t>
      </w:r>
      <w:r>
        <w:rPr>
          <w:rFonts w:ascii="David" w:hAnsi="David" w:cs="David"/>
          <w:color w:val="000000"/>
          <w:sz w:val="18"/>
          <w:szCs w:val="18"/>
          <w:rtl/>
        </w:rPr>
        <w:t>. ציונים 1245 ואילך, 1313 ואילך, 1334, 1340.</w:t>
      </w:r>
    </w:p>
  </w:footnote>
  <w:footnote w:id="870">
    <w:p w14:paraId="5101783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870</w:t>
      </w:r>
      <w:r>
        <w:rPr>
          <w:rFonts w:ascii="David" w:hAnsi="David" w:cs="David"/>
          <w:sz w:val="24"/>
          <w:szCs w:val="24"/>
          <w:rtl/>
        </w:rPr>
        <w:t xml:space="preserve"> </w:t>
      </w:r>
      <w:r>
        <w:rPr>
          <w:rFonts w:ascii="David" w:hAnsi="David" w:cs="David"/>
          <w:color w:val="000000"/>
          <w:sz w:val="18"/>
          <w:szCs w:val="18"/>
          <w:rtl/>
        </w:rPr>
        <w:t>. עי' ציון 963, ועי' ציון 868, שי"ס שהוא דוקא במים שאינם מקודשים</w:t>
      </w:r>
    </w:p>
  </w:footnote>
  <w:footnote w:id="871">
    <w:p w14:paraId="406E1D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871</w:t>
      </w:r>
      <w:r>
        <w:rPr>
          <w:rFonts w:ascii="David" w:hAnsi="David" w:cs="David"/>
          <w:sz w:val="24"/>
          <w:szCs w:val="24"/>
          <w:rtl/>
        </w:rPr>
        <w:t xml:space="preserve"> </w:t>
      </w:r>
      <w:r>
        <w:rPr>
          <w:rFonts w:ascii="David" w:hAnsi="David" w:cs="David"/>
          <w:color w:val="000000"/>
          <w:sz w:val="18"/>
          <w:szCs w:val="18"/>
          <w:rtl/>
        </w:rPr>
        <w:t>. רש"י חולין ט ב ד"ה אם (הב'); מאירי שם. ועי' רש"י שם י א ד"ה ש"מ, שאם היא על דף גבוה, יכולה חולדה לשתות ממנה, ובמאירי שם ט ב ובראש יוסף שם, לא נ' כן.</w:t>
      </w:r>
    </w:p>
  </w:footnote>
  <w:footnote w:id="872">
    <w:p w14:paraId="5B805E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872</w:t>
      </w:r>
      <w:r>
        <w:rPr>
          <w:rFonts w:ascii="David" w:hAnsi="David" w:cs="David"/>
          <w:sz w:val="24"/>
          <w:szCs w:val="24"/>
          <w:rtl/>
        </w:rPr>
        <w:t xml:space="preserve"> </w:t>
      </w:r>
      <w:r>
        <w:rPr>
          <w:rFonts w:ascii="David" w:hAnsi="David" w:cs="David"/>
          <w:color w:val="000000"/>
          <w:sz w:val="18"/>
          <w:szCs w:val="18"/>
          <w:rtl/>
        </w:rPr>
        <w:t>. עי' ציון 860. ועי' תוס' שם ד"ה או נחש ור"ש ורא"ש פרה פי"א מ"א, שלא נקטו אף את ר"א שבציון 865, משום שהוא שמותי, ע"ע הלכה: בשאר תנאים, ציון 726 ואילך.</w:t>
      </w:r>
    </w:p>
  </w:footnote>
  <w:footnote w:id="873">
    <w:p w14:paraId="66C3AE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873</w:t>
      </w:r>
      <w:r>
        <w:rPr>
          <w:rFonts w:ascii="David" w:hAnsi="David" w:cs="David"/>
          <w:sz w:val="24"/>
          <w:szCs w:val="24"/>
          <w:rtl/>
        </w:rPr>
        <w:t xml:space="preserve"> </w:t>
      </w:r>
      <w:r>
        <w:rPr>
          <w:rFonts w:ascii="David" w:hAnsi="David" w:cs="David"/>
          <w:color w:val="000000"/>
          <w:sz w:val="18"/>
          <w:szCs w:val="18"/>
          <w:rtl/>
        </w:rPr>
        <w:t>. עי' ציון 861. חזו"א פרה סי' יג ס"ק ח.</w:t>
      </w:r>
    </w:p>
  </w:footnote>
  <w:footnote w:id="874">
    <w:p w14:paraId="7BF844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874</w:t>
      </w:r>
      <w:r>
        <w:rPr>
          <w:rFonts w:ascii="David" w:hAnsi="David" w:cs="David"/>
          <w:sz w:val="24"/>
          <w:szCs w:val="24"/>
          <w:rtl/>
        </w:rPr>
        <w:t xml:space="preserve"> </w:t>
      </w:r>
      <w:r>
        <w:rPr>
          <w:rFonts w:ascii="David" w:hAnsi="David" w:cs="David"/>
          <w:color w:val="000000"/>
          <w:sz w:val="18"/>
          <w:szCs w:val="18"/>
          <w:rtl/>
        </w:rPr>
        <w:t>. פרה שם; רמב"ם פרה פ"ט הט"ז.</w:t>
      </w:r>
    </w:p>
  </w:footnote>
  <w:footnote w:id="875">
    <w:p w14:paraId="7E7307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875</w:t>
      </w:r>
      <w:r>
        <w:rPr>
          <w:rFonts w:ascii="David" w:hAnsi="David" w:cs="David"/>
          <w:sz w:val="24"/>
          <w:szCs w:val="24"/>
          <w:rtl/>
        </w:rPr>
        <w:t xml:space="preserve"> </w:t>
      </w:r>
      <w:r>
        <w:rPr>
          <w:rFonts w:ascii="David" w:hAnsi="David" w:cs="David"/>
          <w:color w:val="000000"/>
          <w:sz w:val="18"/>
          <w:szCs w:val="18"/>
          <w:rtl/>
        </w:rPr>
        <w:t>. רמב"ן חולין שם, וע"ש שהוא משום היסה"ד, ומ' שכוונתו שכיון שאפשר ששתתה חולדה, חשוב היסה"ד, ועי' ציון 59, וצ"ב אם כוונתו אף אחר קידוש, וע"ש שהשוה לפסול מלאכה, ועי' מאירי דלהלן, ועי' ציונים 56 ואילך, 66 ואילך, ועי' חזו"א שם סי' ז ס"ק יג. ועי' תפא"י שם בועז אות ב. ועי' שושנים לדוד, בטעם שאין תולים שאף אם חולדה גילהת לא שתתה.</w:t>
      </w:r>
    </w:p>
  </w:footnote>
  <w:footnote w:id="876">
    <w:p w14:paraId="1DF622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876</w:t>
      </w:r>
      <w:r>
        <w:rPr>
          <w:rFonts w:ascii="David" w:hAnsi="David" w:cs="David"/>
          <w:sz w:val="24"/>
          <w:szCs w:val="24"/>
          <w:rtl/>
        </w:rPr>
        <w:t xml:space="preserve"> </w:t>
      </w:r>
      <w:r>
        <w:rPr>
          <w:rFonts w:ascii="David" w:hAnsi="David" w:cs="David"/>
          <w:color w:val="000000"/>
          <w:sz w:val="18"/>
          <w:szCs w:val="18"/>
          <w:rtl/>
        </w:rPr>
        <w:t>. עי' חולין י א, לגי' שלפנינו, וכ"ה גי' רש"י שם ור"ש ורא"ש ורע"ב פרה שם, ועי' תפא"י שם בועז אות ה. על דין מים מגולים, שאסור לרחוץ בהם בשר, ע"ע גלוי ציון 194, ועי' חזו"נ פרה שם.</w:t>
      </w:r>
    </w:p>
  </w:footnote>
  <w:footnote w:id="877">
    <w:p w14:paraId="06A816C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877</w:t>
      </w:r>
      <w:r>
        <w:rPr>
          <w:rFonts w:ascii="David" w:hAnsi="David" w:cs="David"/>
          <w:sz w:val="24"/>
          <w:szCs w:val="24"/>
          <w:rtl/>
        </w:rPr>
        <w:t xml:space="preserve"> </w:t>
      </w:r>
      <w:r>
        <w:rPr>
          <w:rFonts w:ascii="David" w:hAnsi="David" w:cs="David"/>
          <w:color w:val="000000"/>
          <w:sz w:val="18"/>
          <w:szCs w:val="18"/>
          <w:rtl/>
        </w:rPr>
        <w:t>. חזו"א שם סי' יד ס"ק א.</w:t>
      </w:r>
    </w:p>
  </w:footnote>
  <w:footnote w:id="878">
    <w:p w14:paraId="797DA6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878</w:t>
      </w:r>
      <w:r>
        <w:rPr>
          <w:rFonts w:ascii="David" w:hAnsi="David" w:cs="David"/>
          <w:sz w:val="24"/>
          <w:szCs w:val="24"/>
          <w:rtl/>
        </w:rPr>
        <w:t xml:space="preserve"> </w:t>
      </w:r>
      <w:r>
        <w:rPr>
          <w:rFonts w:ascii="David" w:hAnsi="David" w:cs="David"/>
          <w:color w:val="000000"/>
          <w:sz w:val="18"/>
          <w:szCs w:val="18"/>
          <w:rtl/>
        </w:rPr>
        <w:t>. רמב"ן ומאירי חולין ט ב, משום היסה"ד, עי' לעיל, ועי' מק"ד טהרות סי' נא אות ב.</w:t>
      </w:r>
    </w:p>
  </w:footnote>
  <w:footnote w:id="879">
    <w:p w14:paraId="6463CC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879</w:t>
      </w:r>
      <w:r>
        <w:rPr>
          <w:rFonts w:ascii="David" w:hAnsi="David" w:cs="David"/>
          <w:sz w:val="24"/>
          <w:szCs w:val="24"/>
          <w:rtl/>
        </w:rPr>
        <w:t xml:space="preserve"> </w:t>
      </w:r>
      <w:r>
        <w:rPr>
          <w:rFonts w:ascii="David" w:hAnsi="David" w:cs="David"/>
          <w:color w:val="000000"/>
          <w:sz w:val="18"/>
          <w:szCs w:val="18"/>
          <w:rtl/>
        </w:rPr>
        <w:t>. ציון 925.</w:t>
      </w:r>
    </w:p>
  </w:footnote>
  <w:footnote w:id="880">
    <w:p w14:paraId="63A528B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880</w:t>
      </w:r>
      <w:r>
        <w:rPr>
          <w:rFonts w:ascii="David" w:hAnsi="David" w:cs="David"/>
          <w:sz w:val="24"/>
          <w:szCs w:val="24"/>
          <w:rtl/>
        </w:rPr>
        <w:t xml:space="preserve"> </w:t>
      </w:r>
      <w:r>
        <w:rPr>
          <w:rFonts w:ascii="David" w:hAnsi="David" w:cs="David"/>
          <w:color w:val="000000"/>
          <w:sz w:val="18"/>
          <w:szCs w:val="18"/>
          <w:rtl/>
        </w:rPr>
        <w:t>. עי' פרה פ"ט מ"ד; רמב"ם פרה פ"ט הט"ו. ועי' תוספתא פרה פ"ט ובהגר"א שם, שר' יוסי אמר שר"א מכשיר בזה, ועי' מנחת בכורים שם.</w:t>
      </w:r>
    </w:p>
  </w:footnote>
  <w:footnote w:id="881">
    <w:p w14:paraId="5217CF2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881</w:t>
      </w:r>
      <w:r>
        <w:rPr>
          <w:rFonts w:ascii="David" w:hAnsi="David" w:cs="David"/>
          <w:sz w:val="24"/>
          <w:szCs w:val="24"/>
          <w:rtl/>
        </w:rPr>
        <w:t xml:space="preserve"> </w:t>
      </w:r>
      <w:r>
        <w:rPr>
          <w:rFonts w:ascii="David" w:hAnsi="David" w:cs="David"/>
          <w:color w:val="000000"/>
          <w:sz w:val="18"/>
          <w:szCs w:val="18"/>
          <w:rtl/>
        </w:rPr>
        <w:t>. עי' תוספתא שם, הובאה בתוס' חולין ט ב ד"ה אם; פהמ"ש לרמב"ם ור"ש ורא"ש ורע"ב שם.</w:t>
      </w:r>
    </w:p>
  </w:footnote>
  <w:footnote w:id="882">
    <w:p w14:paraId="7672900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882</w:t>
      </w:r>
      <w:r>
        <w:rPr>
          <w:rFonts w:ascii="David" w:hAnsi="David" w:cs="David"/>
          <w:sz w:val="24"/>
          <w:szCs w:val="24"/>
          <w:rtl/>
        </w:rPr>
        <w:t xml:space="preserve"> </w:t>
      </w:r>
      <w:r>
        <w:rPr>
          <w:rFonts w:ascii="David" w:hAnsi="David" w:cs="David"/>
          <w:color w:val="000000"/>
          <w:sz w:val="18"/>
          <w:szCs w:val="18"/>
          <w:rtl/>
        </w:rPr>
        <w:t>. פהמ"ש לרמב"ם ור"ש ורא"ש ורע"ב שם, ופי' א' בערוך ע' גרגרן, בד' משנה שם: ואם גרגר כשר, וכעי"ז בתוס' חולין שם; רמב"ם שם.</w:t>
      </w:r>
    </w:p>
  </w:footnote>
  <w:footnote w:id="883">
    <w:p w14:paraId="240CA2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883</w:t>
      </w:r>
      <w:r>
        <w:rPr>
          <w:rFonts w:ascii="David" w:hAnsi="David" w:cs="David"/>
          <w:sz w:val="24"/>
          <w:szCs w:val="24"/>
          <w:rtl/>
        </w:rPr>
        <w:t xml:space="preserve"> </w:t>
      </w:r>
      <w:r>
        <w:rPr>
          <w:rFonts w:ascii="David" w:hAnsi="David" w:cs="David"/>
          <w:color w:val="000000"/>
          <w:sz w:val="18"/>
          <w:szCs w:val="18"/>
          <w:rtl/>
        </w:rPr>
        <w:t>. פי' ב' בערוך שם. ועי' ראב"ד פרה שם, בע"א, ועי' ציון הבא.</w:t>
      </w:r>
    </w:p>
  </w:footnote>
  <w:footnote w:id="884">
    <w:p w14:paraId="13B1C56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884</w:t>
      </w:r>
      <w:r>
        <w:rPr>
          <w:rFonts w:ascii="David" w:hAnsi="David" w:cs="David"/>
          <w:sz w:val="24"/>
          <w:szCs w:val="24"/>
          <w:rtl/>
        </w:rPr>
        <w:t xml:space="preserve"> </w:t>
      </w:r>
      <w:r>
        <w:rPr>
          <w:rFonts w:ascii="David" w:hAnsi="David" w:cs="David"/>
          <w:color w:val="000000"/>
          <w:sz w:val="18"/>
          <w:szCs w:val="18"/>
          <w:rtl/>
        </w:rPr>
        <w:t>. עי' חס"ד לתוספתא שם וכעי"ז בחזו"נ פרה שם ובחזו"א פרה סי' יא ס"ק י, בד' ראב"ד שבציון הקודם, ועי' מרכה"מ שם שנקט שאף לד' הראב"ד הפסול משום רוק שבפיו; עי' משנ"א שם, שפי' הפסול מהטעם שבציון הבא.</w:t>
      </w:r>
    </w:p>
  </w:footnote>
  <w:footnote w:id="885">
    <w:p w14:paraId="25EFFEB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885</w:t>
      </w:r>
      <w:r>
        <w:rPr>
          <w:rFonts w:ascii="David" w:hAnsi="David" w:cs="David"/>
          <w:sz w:val="24"/>
          <w:szCs w:val="24"/>
          <w:rtl/>
        </w:rPr>
        <w:t xml:space="preserve"> </w:t>
      </w:r>
      <w:r>
        <w:rPr>
          <w:rFonts w:ascii="David" w:hAnsi="David" w:cs="David"/>
          <w:color w:val="000000"/>
          <w:sz w:val="18"/>
          <w:szCs w:val="18"/>
          <w:rtl/>
        </w:rPr>
        <w:t>. ציון 283 ואילך. ועי' לעיל ציון 350.</w:t>
      </w:r>
    </w:p>
  </w:footnote>
  <w:footnote w:id="886">
    <w:p w14:paraId="030B0EE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886</w:t>
      </w:r>
      <w:r>
        <w:rPr>
          <w:rFonts w:ascii="David" w:hAnsi="David" w:cs="David"/>
          <w:sz w:val="24"/>
          <w:szCs w:val="24"/>
          <w:rtl/>
        </w:rPr>
        <w:t xml:space="preserve"> </w:t>
      </w:r>
      <w:r>
        <w:rPr>
          <w:rFonts w:ascii="David" w:hAnsi="David" w:cs="David"/>
          <w:color w:val="000000"/>
          <w:sz w:val="18"/>
          <w:szCs w:val="18"/>
          <w:rtl/>
        </w:rPr>
        <w:t>. עי' להלן.</w:t>
      </w:r>
    </w:p>
  </w:footnote>
  <w:footnote w:id="887">
    <w:p w14:paraId="5A470F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887</w:t>
      </w:r>
      <w:r>
        <w:rPr>
          <w:rFonts w:ascii="David" w:hAnsi="David" w:cs="David"/>
          <w:sz w:val="24"/>
          <w:szCs w:val="24"/>
          <w:rtl/>
        </w:rPr>
        <w:t xml:space="preserve"> </w:t>
      </w:r>
      <w:r>
        <w:rPr>
          <w:rFonts w:ascii="David" w:hAnsi="David" w:cs="David"/>
          <w:color w:val="000000"/>
          <w:sz w:val="18"/>
          <w:szCs w:val="18"/>
          <w:rtl/>
        </w:rPr>
        <w:t>. עי' ציונים 241, 704, 707. פרה פ"ו מ"ג.</w:t>
      </w:r>
    </w:p>
  </w:footnote>
  <w:footnote w:id="888">
    <w:p w14:paraId="733BD64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888</w:t>
      </w:r>
      <w:r>
        <w:rPr>
          <w:rFonts w:ascii="David" w:hAnsi="David" w:cs="David"/>
          <w:sz w:val="24"/>
          <w:szCs w:val="24"/>
          <w:rtl/>
        </w:rPr>
        <w:t xml:space="preserve"> </w:t>
      </w:r>
      <w:r>
        <w:rPr>
          <w:rFonts w:ascii="David" w:hAnsi="David" w:cs="David"/>
          <w:color w:val="000000"/>
          <w:sz w:val="18"/>
          <w:szCs w:val="18"/>
          <w:rtl/>
        </w:rPr>
        <w:t>. עי' ציונים 718, 740.</w:t>
      </w:r>
    </w:p>
  </w:footnote>
  <w:footnote w:id="889">
    <w:p w14:paraId="5998AC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889</w:t>
      </w:r>
      <w:r>
        <w:rPr>
          <w:rFonts w:ascii="David" w:hAnsi="David" w:cs="David"/>
          <w:sz w:val="24"/>
          <w:szCs w:val="24"/>
          <w:rtl/>
        </w:rPr>
        <w:t xml:space="preserve"> </w:t>
      </w:r>
      <w:r>
        <w:rPr>
          <w:rFonts w:ascii="David" w:hAnsi="David" w:cs="David"/>
          <w:color w:val="000000"/>
          <w:sz w:val="18"/>
          <w:szCs w:val="18"/>
          <w:rtl/>
        </w:rPr>
        <w:t>. עי' משנ"א שם; תפא"י בועז שם אות ב. ועי' חזו"א פרה סי' יב ס"ק י, שהטעם שמועיל זילוף, הוא משום שמים שבספוג עצורים, ואף כשמזלף ממים שמעליהם אינם יוצאים.</w:t>
      </w:r>
    </w:p>
  </w:footnote>
  <w:footnote w:id="890">
    <w:p w14:paraId="512904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890</w:t>
      </w:r>
      <w:r>
        <w:rPr>
          <w:rFonts w:ascii="David" w:hAnsi="David" w:cs="David"/>
          <w:sz w:val="24"/>
          <w:szCs w:val="24"/>
          <w:rtl/>
        </w:rPr>
        <w:t xml:space="preserve"> </w:t>
      </w:r>
      <w:r>
        <w:rPr>
          <w:rFonts w:ascii="David" w:hAnsi="David" w:cs="David"/>
          <w:color w:val="000000"/>
          <w:sz w:val="18"/>
          <w:szCs w:val="18"/>
          <w:rtl/>
        </w:rPr>
        <w:t>. עי' להלן; עי' ציון 441; תפא"י פרה פ"ו אות יח, ע"ש ראייתו; רש"ש שם פ"ט מ"א.</w:t>
      </w:r>
    </w:p>
  </w:footnote>
  <w:footnote w:id="891">
    <w:p w14:paraId="2D976F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891</w:t>
      </w:r>
      <w:r>
        <w:rPr>
          <w:rFonts w:ascii="David" w:hAnsi="David" w:cs="David"/>
          <w:sz w:val="24"/>
          <w:szCs w:val="24"/>
          <w:rtl/>
        </w:rPr>
        <w:t xml:space="preserve"> </w:t>
      </w:r>
      <w:r>
        <w:rPr>
          <w:rFonts w:ascii="David" w:hAnsi="David" w:cs="David"/>
          <w:color w:val="000000"/>
          <w:sz w:val="18"/>
          <w:szCs w:val="18"/>
          <w:rtl/>
        </w:rPr>
        <w:t>. תפא"י שם פ"ה אות טו, ועי' ציון הנ"ל.</w:t>
      </w:r>
    </w:p>
  </w:footnote>
  <w:footnote w:id="892">
    <w:p w14:paraId="25AA71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892</w:t>
      </w:r>
      <w:r>
        <w:rPr>
          <w:rFonts w:ascii="David" w:hAnsi="David" w:cs="David"/>
          <w:sz w:val="24"/>
          <w:szCs w:val="24"/>
          <w:rtl/>
        </w:rPr>
        <w:t xml:space="preserve"> </w:t>
      </w:r>
      <w:r>
        <w:rPr>
          <w:rFonts w:ascii="David" w:hAnsi="David" w:cs="David"/>
          <w:color w:val="000000"/>
          <w:sz w:val="18"/>
          <w:szCs w:val="18"/>
          <w:rtl/>
        </w:rPr>
        <w:t>. רמב"ם פרה פ"ט ה"ה, לגירסתו בתוספתא פרה סופ"ה, עי' כס"מ שם, והובא במנחת ביכורים שם. ועי' ציון 279, שי"ג בע"א.</w:t>
      </w:r>
    </w:p>
  </w:footnote>
  <w:footnote w:id="893">
    <w:p w14:paraId="16DDD3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893</w:t>
      </w:r>
      <w:r>
        <w:rPr>
          <w:rFonts w:ascii="David" w:hAnsi="David" w:cs="David"/>
          <w:sz w:val="24"/>
          <w:szCs w:val="24"/>
          <w:rtl/>
        </w:rPr>
        <w:t xml:space="preserve"> </w:t>
      </w:r>
      <w:r>
        <w:rPr>
          <w:rFonts w:ascii="David" w:hAnsi="David" w:cs="David"/>
          <w:color w:val="000000"/>
          <w:sz w:val="18"/>
          <w:szCs w:val="18"/>
          <w:rtl/>
        </w:rPr>
        <w:t>. כס"מ שם בשם ר"י קורקוס; ערה"ש פרה סי' סח סט"ו.</w:t>
      </w:r>
    </w:p>
  </w:footnote>
  <w:footnote w:id="894">
    <w:p w14:paraId="57019E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894</w:t>
      </w:r>
      <w:r>
        <w:rPr>
          <w:rFonts w:ascii="David" w:hAnsi="David" w:cs="David"/>
          <w:sz w:val="24"/>
          <w:szCs w:val="24"/>
          <w:rtl/>
        </w:rPr>
        <w:t xml:space="preserve"> </w:t>
      </w:r>
      <w:r>
        <w:rPr>
          <w:rFonts w:ascii="David" w:hAnsi="David" w:cs="David"/>
          <w:color w:val="000000"/>
          <w:sz w:val="18"/>
          <w:szCs w:val="18"/>
          <w:rtl/>
        </w:rPr>
        <w:t>. עי' רמב"ם שם; כס"מ שם בשם ר"י קורקוס; עי' או"ש שם ה"ג; ערה"ש שם.</w:t>
      </w:r>
    </w:p>
  </w:footnote>
  <w:footnote w:id="895">
    <w:p w14:paraId="741A27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895</w:t>
      </w:r>
      <w:r>
        <w:rPr>
          <w:rFonts w:ascii="David" w:hAnsi="David" w:cs="David"/>
          <w:sz w:val="24"/>
          <w:szCs w:val="24"/>
          <w:rtl/>
        </w:rPr>
        <w:t xml:space="preserve"> </w:t>
      </w:r>
      <w:r>
        <w:rPr>
          <w:rFonts w:ascii="David" w:hAnsi="David" w:cs="David"/>
          <w:color w:val="000000"/>
          <w:sz w:val="18"/>
          <w:szCs w:val="18"/>
          <w:rtl/>
        </w:rPr>
        <w:t>. הגהת חס"ד שם בכס"מ שם ה"ה בשם ר"י קורקוס, ועי' מנחת ביכורים שם; עי' או"ש שם ה"ג. ועי' רמב"ם שם ה"ה, שמ' קצת שדוקא כשסוחט בחוץ המים שבכלי כשרים.</w:t>
      </w:r>
    </w:p>
  </w:footnote>
  <w:footnote w:id="896">
    <w:p w14:paraId="2A5EC9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896</w:t>
      </w:r>
      <w:r>
        <w:rPr>
          <w:rFonts w:ascii="David" w:hAnsi="David" w:cs="David"/>
          <w:sz w:val="24"/>
          <w:szCs w:val="24"/>
          <w:rtl/>
        </w:rPr>
        <w:t xml:space="preserve"> </w:t>
      </w:r>
      <w:r>
        <w:rPr>
          <w:rFonts w:ascii="David" w:hAnsi="David" w:cs="David"/>
          <w:color w:val="000000"/>
          <w:sz w:val="18"/>
          <w:szCs w:val="18"/>
          <w:rtl/>
        </w:rPr>
        <w:t>. עי' ציון 740.</w:t>
      </w:r>
    </w:p>
  </w:footnote>
  <w:footnote w:id="897">
    <w:p w14:paraId="116E15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897</w:t>
      </w:r>
      <w:r>
        <w:rPr>
          <w:rFonts w:ascii="David" w:hAnsi="David" w:cs="David"/>
          <w:sz w:val="24"/>
          <w:szCs w:val="24"/>
          <w:rtl/>
        </w:rPr>
        <w:t xml:space="preserve"> </w:t>
      </w:r>
      <w:r>
        <w:rPr>
          <w:rFonts w:ascii="David" w:hAnsi="David" w:cs="David"/>
          <w:color w:val="000000"/>
          <w:sz w:val="18"/>
          <w:szCs w:val="18"/>
          <w:rtl/>
        </w:rPr>
        <w:t>. טעם ג' בכס"מ שם בשם ר"י קורקוס. ועי' חזו"נ פרה פ"ו מ"ג.</w:t>
      </w:r>
    </w:p>
  </w:footnote>
  <w:footnote w:id="898">
    <w:p w14:paraId="47297E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898</w:t>
      </w:r>
      <w:r>
        <w:rPr>
          <w:rFonts w:ascii="David" w:hAnsi="David" w:cs="David"/>
          <w:sz w:val="24"/>
          <w:szCs w:val="24"/>
          <w:rtl/>
        </w:rPr>
        <w:t xml:space="preserve"> </w:t>
      </w:r>
      <w:r>
        <w:rPr>
          <w:rFonts w:ascii="David" w:hAnsi="David" w:cs="David"/>
          <w:color w:val="000000"/>
          <w:sz w:val="18"/>
          <w:szCs w:val="18"/>
          <w:rtl/>
        </w:rPr>
        <w:t>. ציון 91.</w:t>
      </w:r>
    </w:p>
  </w:footnote>
  <w:footnote w:id="899">
    <w:p w14:paraId="1DDFBB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899</w:t>
      </w:r>
      <w:r>
        <w:rPr>
          <w:rFonts w:ascii="David" w:hAnsi="David" w:cs="David"/>
          <w:sz w:val="24"/>
          <w:szCs w:val="24"/>
          <w:rtl/>
        </w:rPr>
        <w:t xml:space="preserve"> </w:t>
      </w:r>
      <w:r>
        <w:rPr>
          <w:rFonts w:ascii="David" w:hAnsi="David" w:cs="David"/>
          <w:color w:val="000000"/>
          <w:sz w:val="18"/>
          <w:szCs w:val="18"/>
          <w:rtl/>
        </w:rPr>
        <w:t>. עי' ערה"ש שם. ועי' כס"מ שם בשם ר"י קורקוס, בטעם הב', שסחיטת הספוג חומרא בעלמא היא, וצ"ב אם לפ"ז בדיעבד נפסל.</w:t>
      </w:r>
    </w:p>
  </w:footnote>
  <w:footnote w:id="900">
    <w:p w14:paraId="2B39260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900</w:t>
      </w:r>
      <w:r>
        <w:rPr>
          <w:rFonts w:ascii="David" w:hAnsi="David" w:cs="David"/>
          <w:sz w:val="24"/>
          <w:szCs w:val="24"/>
          <w:rtl/>
        </w:rPr>
        <w:t xml:space="preserve"> </w:t>
      </w:r>
      <w:r>
        <w:rPr>
          <w:rFonts w:ascii="David" w:hAnsi="David" w:cs="David"/>
          <w:color w:val="000000"/>
          <w:sz w:val="18"/>
          <w:szCs w:val="18"/>
          <w:rtl/>
        </w:rPr>
        <w:t>. עי' להלן, ועי' ציון 1311 ואילך, שכל מי חטאת מטמאים טומאת משקים, ושם אם הוא דוקא לאחר שנפסלו, ולכאו' לד"ה אינם נפסלים מחמת טומאת משקים, כיון שהיא קיימת בכל מי חטאת, ומשום שחטאת אינה מטמאת לענין חטאת, עי' ציון 1137 ואילך, ועי' חזו"א פרה סי' יג ס"ק ו, ואף על פי שהם טמאים, אין אומרים שבע לו טומאה (ע"ע טמאה ציון 615 ואילך), כיון שנוסף טומאה לענין חטאת, וצ"ב אם כ"ה אף לסוברים שאינם נפסלים בכך, עי' להלן. ועי' חזו"א שם סי' יד ס"ק ח, שמסתפק אם מק"ט כשהם קפואים, ועי' ציון 1263 ואילך.</w:t>
      </w:r>
    </w:p>
  </w:footnote>
  <w:footnote w:id="901">
    <w:p w14:paraId="4A7587F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901</w:t>
      </w:r>
      <w:r>
        <w:rPr>
          <w:rFonts w:ascii="David" w:hAnsi="David" w:cs="David"/>
          <w:sz w:val="24"/>
          <w:szCs w:val="24"/>
          <w:rtl/>
        </w:rPr>
        <w:t xml:space="preserve"> </w:t>
      </w:r>
      <w:r>
        <w:rPr>
          <w:rFonts w:ascii="David" w:hAnsi="David" w:cs="David"/>
          <w:color w:val="000000"/>
          <w:sz w:val="18"/>
          <w:szCs w:val="18"/>
          <w:rtl/>
        </w:rPr>
        <w:t>. ברייתא זבחים צג א. ועי' אור חדש פסחים סט א, בד' תוס' שם.</w:t>
      </w:r>
    </w:p>
  </w:footnote>
  <w:footnote w:id="902">
    <w:p w14:paraId="19EE780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902</w:t>
      </w:r>
      <w:r>
        <w:rPr>
          <w:rFonts w:ascii="David" w:hAnsi="David" w:cs="David"/>
          <w:sz w:val="24"/>
          <w:szCs w:val="24"/>
          <w:rtl/>
        </w:rPr>
        <w:t xml:space="preserve"> </w:t>
      </w:r>
      <w:r>
        <w:rPr>
          <w:rFonts w:ascii="David" w:hAnsi="David" w:cs="David"/>
          <w:color w:val="000000"/>
          <w:sz w:val="18"/>
          <w:szCs w:val="18"/>
          <w:rtl/>
        </w:rPr>
        <w:t>. ציונים 952 ואילך (בנטמאו בטומאת מת), 965 ואילך (בנטמאו קודם קידוש), 978 ואילך (בנמצאים במקום טמא), 1024 ואילך (בהעבירם בנהר). ועי' להלן.</w:t>
      </w:r>
    </w:p>
  </w:footnote>
  <w:footnote w:id="903">
    <w:p w14:paraId="6C80A30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903</w:t>
      </w:r>
      <w:r>
        <w:rPr>
          <w:rFonts w:ascii="David" w:hAnsi="David" w:cs="David"/>
          <w:sz w:val="24"/>
          <w:szCs w:val="24"/>
          <w:rtl/>
        </w:rPr>
        <w:t xml:space="preserve"> </w:t>
      </w:r>
      <w:r>
        <w:rPr>
          <w:rFonts w:ascii="David" w:hAnsi="David" w:cs="David"/>
          <w:color w:val="000000"/>
          <w:sz w:val="18"/>
          <w:szCs w:val="18"/>
          <w:rtl/>
        </w:rPr>
        <w:t>. ברייתא שם, ורש"י שם ד"ה שהרי. ולכאו' ה"ה שאר טמאים, ועי' להלן. ועי' טו"א ועולת שלמה שבציון 956, שלא למד ר' אלעזר מטמא מת, לפי שמצותו בכך, וכעי"ז באו"ש מעה"ק פ"ח ה"ט, שלכך לא למד ר' אלעזר מטמא מת ביום השלישי, ועי' ציון 919.</w:t>
      </w:r>
    </w:p>
  </w:footnote>
  <w:footnote w:id="904">
    <w:p w14:paraId="1DFC0E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904</w:t>
      </w:r>
      <w:r>
        <w:rPr>
          <w:rFonts w:ascii="David" w:hAnsi="David" w:cs="David"/>
          <w:sz w:val="24"/>
          <w:szCs w:val="24"/>
          <w:rtl/>
        </w:rPr>
        <w:t xml:space="preserve"> </w:t>
      </w:r>
      <w:r>
        <w:rPr>
          <w:rFonts w:ascii="David" w:hAnsi="David" w:cs="David"/>
          <w:color w:val="000000"/>
          <w:sz w:val="18"/>
          <w:szCs w:val="18"/>
          <w:rtl/>
        </w:rPr>
        <w:t>. עי' ר"ש פרה פ"י מ"ה, ועי' להלן.</w:t>
      </w:r>
    </w:p>
  </w:footnote>
  <w:footnote w:id="905">
    <w:p w14:paraId="69B6CA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905</w:t>
      </w:r>
      <w:r>
        <w:rPr>
          <w:rFonts w:ascii="David" w:hAnsi="David" w:cs="David"/>
          <w:sz w:val="24"/>
          <w:szCs w:val="24"/>
          <w:rtl/>
        </w:rPr>
        <w:t xml:space="preserve"> </w:t>
      </w:r>
      <w:r>
        <w:rPr>
          <w:rFonts w:ascii="David" w:hAnsi="David" w:cs="David"/>
          <w:color w:val="000000"/>
          <w:sz w:val="18"/>
          <w:szCs w:val="18"/>
          <w:rtl/>
        </w:rPr>
        <w:t>. רש"י שם, ועי' ציון 919 מזכר יצחק. ועי' ציון הנ"ל, שי"ס בד' חכמים שלמדים מהכתוב שכל טמאים מועילה להם הזאה, ולדבריהם י"ל שזה המקור לר"א שמועילה הזאה לנדה.</w:t>
      </w:r>
    </w:p>
  </w:footnote>
  <w:footnote w:id="906">
    <w:p w14:paraId="248CFB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906</w:t>
      </w:r>
      <w:r>
        <w:rPr>
          <w:rFonts w:ascii="David" w:hAnsi="David" w:cs="David"/>
          <w:sz w:val="24"/>
          <w:szCs w:val="24"/>
          <w:rtl/>
        </w:rPr>
        <w:t xml:space="preserve"> </w:t>
      </w:r>
      <w:r>
        <w:rPr>
          <w:rFonts w:ascii="David" w:hAnsi="David" w:cs="David"/>
          <w:color w:val="000000"/>
          <w:sz w:val="18"/>
          <w:szCs w:val="18"/>
          <w:rtl/>
        </w:rPr>
        <w:t>. עי' המסקנא בזבחים שם, וע"ש שרבה אמר מתחילה שנטמאת כשהיא על אויר הנדה, (ועי' חזו"א פרה סי' ה ס"ק יא, שהוא משום דין מקום טהור שבציון 970 ואילך, אבל בראשונים שבציון 978 נ' לכאו' לא כן), ודחו.</w:t>
      </w:r>
    </w:p>
  </w:footnote>
  <w:footnote w:id="907">
    <w:p w14:paraId="4F99FA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907</w:t>
      </w:r>
      <w:r>
        <w:rPr>
          <w:rFonts w:ascii="David" w:hAnsi="David" w:cs="David"/>
          <w:sz w:val="24"/>
          <w:szCs w:val="24"/>
          <w:rtl/>
        </w:rPr>
        <w:t xml:space="preserve"> </w:t>
      </w:r>
      <w:r>
        <w:rPr>
          <w:rFonts w:ascii="David" w:hAnsi="David" w:cs="David"/>
          <w:color w:val="000000"/>
          <w:sz w:val="18"/>
          <w:szCs w:val="18"/>
          <w:rtl/>
        </w:rPr>
        <w:t>. זבחים שם. ועי' דעת יוסף פרה שם, שהוא משום שלדעתו הטעם שמועילה הזאה אף על פי שהמים נטמאו, הוא מכיון שמים טמאים כשרים להזאה. ועי' ציון 920.</w:t>
      </w:r>
    </w:p>
  </w:footnote>
  <w:footnote w:id="908">
    <w:p w14:paraId="6118C64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908</w:t>
      </w:r>
      <w:r>
        <w:rPr>
          <w:rFonts w:ascii="David" w:hAnsi="David" w:cs="David"/>
          <w:sz w:val="24"/>
          <w:szCs w:val="24"/>
          <w:rtl/>
        </w:rPr>
        <w:t xml:space="preserve"> </w:t>
      </w:r>
      <w:r>
        <w:rPr>
          <w:rFonts w:ascii="David" w:hAnsi="David" w:cs="David"/>
          <w:color w:val="000000"/>
          <w:sz w:val="18"/>
          <w:szCs w:val="18"/>
          <w:rtl/>
        </w:rPr>
        <w:t>. זבחים שם. וע"ע הזאה (ב) ציון 336 ואילך, שנחלקו בכך תנאים ואמוראים, וע"ש בד' ר' אליעזר, ועי' ברכת הזבח שם וחזו"נ פרה פ"ט מ"ז.</w:t>
      </w:r>
    </w:p>
  </w:footnote>
  <w:footnote w:id="909">
    <w:p w14:paraId="0E7BDB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909</w:t>
      </w:r>
      <w:r>
        <w:rPr>
          <w:rFonts w:ascii="David" w:hAnsi="David" w:cs="David"/>
          <w:sz w:val="24"/>
          <w:szCs w:val="24"/>
          <w:rtl/>
        </w:rPr>
        <w:t xml:space="preserve"> </w:t>
      </w:r>
      <w:r>
        <w:rPr>
          <w:rFonts w:ascii="David" w:hAnsi="David" w:cs="David"/>
          <w:color w:val="000000"/>
          <w:sz w:val="18"/>
          <w:szCs w:val="18"/>
          <w:rtl/>
        </w:rPr>
        <w:t>. עי' זבחים שם, ורש"י שם דכולי. ועי' לקח טוב (ענגיל) כלל ט אות ג, שמ' שגדר הזאות מצטרפות הוא שכאילו היזה כשיעור לבסוף, ולא שכל חצי הועיל בשעתו, ולכך חשובה טומאה הקודמת להזאה. ועי' ציון 923. וצ"ב מנ"ל שמועיל בנדה כשהיזה ב' הזאות, ואולי אין כוונת ר"א להוכיח מהתורה, אלא מהמנהג או מתנאים קודמים שלא הזהירו שלא תזה ב' הזאות.</w:t>
      </w:r>
    </w:p>
  </w:footnote>
  <w:footnote w:id="910">
    <w:p w14:paraId="409237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910</w:t>
      </w:r>
      <w:r>
        <w:rPr>
          <w:rFonts w:ascii="David" w:hAnsi="David" w:cs="David"/>
          <w:sz w:val="24"/>
          <w:szCs w:val="24"/>
          <w:rtl/>
        </w:rPr>
        <w:t xml:space="preserve"> </w:t>
      </w:r>
      <w:r>
        <w:rPr>
          <w:rFonts w:ascii="David" w:hAnsi="David" w:cs="David"/>
          <w:color w:val="000000"/>
          <w:sz w:val="18"/>
          <w:szCs w:val="18"/>
          <w:rtl/>
        </w:rPr>
        <w:t>. חזו"א שם, ע"פ ד' ר"ע בזבחים שם שדן בטומאת מי חטאת, אף על פי שלד' רבה שם, ע"כ ר"ע סובר כר"א, וע"כ שהנ"מ במה שדן על טומאתם, הוא מפני שנפסלו מדרבנן, ועי' ציון הבא. ועי' תוס' ור"ש שבציונים 928, 965, שלא מ' כן, ועי' חזו"א שם סי' יד ס"ק ב. ועי' חזו"א סי' ה שם, שכ"מ בכמה משניות הפוסלות מי חטאת משום טומאה, עי' ציונים 1211, 1249, ועוד, ולא מסתבר שר"א חולק על כל המשניות, וע"ש בד' ראשונים שבציון 1024 ואילך, ועי' ציון 1028. ועי' רש"י זבחים שם ד"ה ונטל, בביאור ד' ר"ע: ומעלה היא למי חטאת, ועי' חזו"א שם שדן אם כוונתו כנ"ל. ועי' חזו"א שם, שלענין נדה שטמאה טומאת מת אפשר שלא גזרו כן, ומזים עליה והיא טהורה לגמרי. וע"ש שאם מחמת פסולם מדרבנן הוא מסיח דעתו, נפסלים אף מה"ת, עי' ציון 1289. ועי' חזו"א שם סי' יד ס"ק י, שמטעם אחר פסולים לר"א מדרבנן, כל שאינם בכלי שאינו מק"ט.</w:t>
      </w:r>
    </w:p>
  </w:footnote>
  <w:footnote w:id="911">
    <w:p w14:paraId="445826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911</w:t>
      </w:r>
      <w:r>
        <w:rPr>
          <w:rFonts w:ascii="David" w:hAnsi="David" w:cs="David"/>
          <w:sz w:val="24"/>
          <w:szCs w:val="24"/>
          <w:rtl/>
        </w:rPr>
        <w:t xml:space="preserve"> </w:t>
      </w:r>
      <w:r>
        <w:rPr>
          <w:rFonts w:ascii="David" w:hAnsi="David" w:cs="David"/>
          <w:color w:val="000000"/>
          <w:sz w:val="18"/>
          <w:szCs w:val="18"/>
          <w:rtl/>
        </w:rPr>
        <w:t>. משמרות כהונה זבחים שם, בביאור ד' ר"ע שבציון הקודם. ועי' שמ"ק זבחים עט א, שלכתחילה אין לטמאותם, ומ' שכשנטמאו מזים מהם לכתחילה.</w:t>
      </w:r>
    </w:p>
  </w:footnote>
  <w:footnote w:id="912">
    <w:p w14:paraId="04C513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912</w:t>
      </w:r>
      <w:r>
        <w:rPr>
          <w:rFonts w:ascii="David" w:hAnsi="David" w:cs="David"/>
          <w:sz w:val="24"/>
          <w:szCs w:val="24"/>
          <w:rtl/>
        </w:rPr>
        <w:t xml:space="preserve"> </w:t>
      </w:r>
      <w:r>
        <w:rPr>
          <w:rFonts w:ascii="David" w:hAnsi="David" w:cs="David"/>
          <w:color w:val="000000"/>
          <w:sz w:val="18"/>
          <w:szCs w:val="18"/>
          <w:rtl/>
        </w:rPr>
        <w:t>. עי' פרה פי"ב מ"ו, ועי' פהמ"ש לרמב"ם ומשנ"א שם ותפא"י שם אות מה וחזו"א שם סי' ה ס"ק יד; זבחים צג א.</w:t>
      </w:r>
    </w:p>
  </w:footnote>
  <w:footnote w:id="913">
    <w:p w14:paraId="178931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913</w:t>
      </w:r>
      <w:r>
        <w:rPr>
          <w:rFonts w:ascii="David" w:hAnsi="David" w:cs="David"/>
          <w:sz w:val="24"/>
          <w:szCs w:val="24"/>
          <w:rtl/>
        </w:rPr>
        <w:t xml:space="preserve"> </w:t>
      </w:r>
      <w:r>
        <w:rPr>
          <w:rFonts w:ascii="David" w:hAnsi="David" w:cs="David"/>
          <w:color w:val="000000"/>
          <w:sz w:val="18"/>
          <w:szCs w:val="18"/>
          <w:rtl/>
        </w:rPr>
        <w:t>. עי' תוספ' פרה פי"ב במוסף יורה, ועי' תוספ' שבציון 996, ובהגר"א לתוספ' הנ"ל, שנ' שאם נטמאת אינה מטהרת.</w:t>
      </w:r>
    </w:p>
  </w:footnote>
  <w:footnote w:id="914">
    <w:p w14:paraId="052A76C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914</w:t>
      </w:r>
      <w:r>
        <w:rPr>
          <w:rFonts w:ascii="David" w:hAnsi="David" w:cs="David"/>
          <w:sz w:val="24"/>
          <w:szCs w:val="24"/>
          <w:rtl/>
        </w:rPr>
        <w:t xml:space="preserve"> </w:t>
      </w:r>
      <w:r>
        <w:rPr>
          <w:rFonts w:ascii="David" w:hAnsi="David" w:cs="David"/>
          <w:color w:val="000000"/>
          <w:sz w:val="18"/>
          <w:szCs w:val="18"/>
          <w:rtl/>
        </w:rPr>
        <w:t>. ציון 1038 ואילך.</w:t>
      </w:r>
    </w:p>
  </w:footnote>
  <w:footnote w:id="915">
    <w:p w14:paraId="491B10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915</w:t>
      </w:r>
      <w:r>
        <w:rPr>
          <w:rFonts w:ascii="David" w:hAnsi="David" w:cs="David"/>
          <w:sz w:val="24"/>
          <w:szCs w:val="24"/>
          <w:rtl/>
        </w:rPr>
        <w:t xml:space="preserve"> </w:t>
      </w:r>
      <w:r>
        <w:rPr>
          <w:rFonts w:ascii="David" w:hAnsi="David" w:cs="David"/>
          <w:color w:val="000000"/>
          <w:sz w:val="18"/>
          <w:szCs w:val="18"/>
          <w:rtl/>
        </w:rPr>
        <w:t>. עי' רש"י שבציון 961, לענין מים קודם קידוש, ולכאו' ה"ה אחר קידוש, ועי' משמר הלוי שבת ח"ה סי' טו, שתמה מזה על הגרי"ז שבציון הבא.</w:t>
      </w:r>
    </w:p>
  </w:footnote>
  <w:footnote w:id="916">
    <w:p w14:paraId="2E641D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916</w:t>
      </w:r>
      <w:r>
        <w:rPr>
          <w:rFonts w:ascii="David" w:hAnsi="David" w:cs="David"/>
          <w:sz w:val="24"/>
          <w:szCs w:val="24"/>
          <w:rtl/>
        </w:rPr>
        <w:t xml:space="preserve"> </w:t>
      </w:r>
      <w:r>
        <w:rPr>
          <w:rFonts w:ascii="David" w:hAnsi="David" w:cs="David"/>
          <w:color w:val="000000"/>
          <w:sz w:val="18"/>
          <w:szCs w:val="18"/>
          <w:rtl/>
        </w:rPr>
        <w:t>. במדבר יט יח ויט. רי"ז הלוי פרה פ"ד ה"ה, ע"פ רש"י זבחים יז ב ד"ה כזב, שלמד פסול טמא בשריפת הפרה מכתוב זה הנאמר לענין אסיפת הפרה, ומ' שלמדים משם לכל מעשי הפרה. ועי' רי"ז הלוי שם, שמטעם זה פסול טומאה בפרה שונה מפסולו בשאר קדשים, ע"ע קרבן, ולפיכך טבו"י הפוסל בקדשים אינו פוסל מים המקודשים, ע"ע טבול יום ציון 331 ואילך, וע"ש חילוקים נוספים.</w:t>
      </w:r>
    </w:p>
  </w:footnote>
  <w:footnote w:id="917">
    <w:p w14:paraId="51C3D8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917</w:t>
      </w:r>
      <w:r>
        <w:rPr>
          <w:rFonts w:ascii="David" w:hAnsi="David" w:cs="David"/>
          <w:sz w:val="24"/>
          <w:szCs w:val="24"/>
          <w:rtl/>
        </w:rPr>
        <w:t xml:space="preserve"> </w:t>
      </w:r>
      <w:r>
        <w:rPr>
          <w:rFonts w:ascii="David" w:hAnsi="David" w:cs="David"/>
          <w:color w:val="000000"/>
          <w:sz w:val="18"/>
          <w:szCs w:val="18"/>
          <w:rtl/>
        </w:rPr>
        <w:t>. עי' זבחים צג א ורמב"ם פרה פי"א ה"ג וסמ"ג עשין רלב, ועי' להלן.</w:t>
      </w:r>
    </w:p>
  </w:footnote>
  <w:footnote w:id="918">
    <w:p w14:paraId="615496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918</w:t>
      </w:r>
      <w:r>
        <w:rPr>
          <w:rFonts w:ascii="David" w:hAnsi="David" w:cs="David"/>
          <w:sz w:val="24"/>
          <w:szCs w:val="24"/>
          <w:rtl/>
        </w:rPr>
        <w:t xml:space="preserve"> </w:t>
      </w:r>
      <w:r>
        <w:rPr>
          <w:rFonts w:ascii="David" w:hAnsi="David" w:cs="David"/>
          <w:color w:val="000000"/>
          <w:sz w:val="18"/>
          <w:szCs w:val="18"/>
          <w:rtl/>
        </w:rPr>
        <w:t>. במדבר יט יט.</w:t>
      </w:r>
    </w:p>
  </w:footnote>
  <w:footnote w:id="919">
    <w:p w14:paraId="05128F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919</w:t>
      </w:r>
      <w:r>
        <w:rPr>
          <w:rFonts w:ascii="David" w:hAnsi="David" w:cs="David"/>
          <w:sz w:val="24"/>
          <w:szCs w:val="24"/>
          <w:rtl/>
        </w:rPr>
        <w:t xml:space="preserve"> </w:t>
      </w:r>
      <w:r>
        <w:rPr>
          <w:rFonts w:ascii="David" w:hAnsi="David" w:cs="David"/>
          <w:color w:val="000000"/>
          <w:sz w:val="18"/>
          <w:szCs w:val="18"/>
          <w:rtl/>
        </w:rPr>
        <w:t>. עי' ספרי זוטא שם ורמב"ם וסמ"ג שם. ומ' של' הטמא, פירושו שהוא טמא אף בטומאה אחרת, וכ"נ בבית שערים או"ח סי' שכט, ועי' דעת יוסף פרה פ"י מ"ה, שפי' כן בד' ספ"ז, אבל בד' הרמב"ם פי' ע"פ גי' הדפוסים שהזכיר "ביום השלישי" (ועי' ילקוט שנו"ס, פרנקל, שבכתה"י אינו), שהראיה היא ממה שהזאת יום הג' מועילה, אף על פי שאינה מטהרת, ע"ע הזאה (ב) ציון 184 ואילך, ועי' אחרונים דלעיל ציון 903, ולדבריהם לכאו' א"א ללמוד מטמא מת לשאר טמאים. וע"ע הנ"ל ציון 177 ואילך. ולרש"י דלעיל ציון 905, אפשר שלמדים שמועילה הזאה לטמאים, ממה שלא מצינו שהוצרכו לטבול קודם. ועי' רדב"ז נזירות פ"י ה"י ולח"מ שם הי"ב וזכר יצחק ח"א סי' עה, על מצורע, וזכר יצחק שם, על נדה בימי טומאתה, ע"פ רש"י שבציון הנ"ל.</w:t>
      </w:r>
    </w:p>
  </w:footnote>
  <w:footnote w:id="920">
    <w:p w14:paraId="3414EF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920</w:t>
      </w:r>
      <w:r>
        <w:rPr>
          <w:rFonts w:ascii="David" w:hAnsi="David" w:cs="David"/>
          <w:sz w:val="24"/>
          <w:szCs w:val="24"/>
          <w:rtl/>
        </w:rPr>
        <w:t xml:space="preserve"> </w:t>
      </w:r>
      <w:r>
        <w:rPr>
          <w:rFonts w:ascii="David" w:hAnsi="David" w:cs="David"/>
          <w:color w:val="000000"/>
          <w:sz w:val="18"/>
          <w:szCs w:val="18"/>
          <w:rtl/>
        </w:rPr>
        <w:t>. זבחים שם. ועי' ציון 907 ואילך.</w:t>
      </w:r>
    </w:p>
  </w:footnote>
  <w:footnote w:id="921">
    <w:p w14:paraId="2242ABA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921</w:t>
      </w:r>
      <w:r>
        <w:rPr>
          <w:rFonts w:ascii="David" w:hAnsi="David" w:cs="David"/>
          <w:sz w:val="24"/>
          <w:szCs w:val="24"/>
          <w:rtl/>
        </w:rPr>
        <w:t xml:space="preserve"> </w:t>
      </w:r>
      <w:r>
        <w:rPr>
          <w:rFonts w:ascii="David" w:hAnsi="David" w:cs="David"/>
          <w:color w:val="000000"/>
          <w:sz w:val="18"/>
          <w:szCs w:val="18"/>
          <w:rtl/>
        </w:rPr>
        <w:t>. עי' רש"י שם ד"ה בדנין, וכס"מ פרה שם. ועי' דעת יוסף שם, שהוא משום שלדעתם הטעם שמועילה הזאה אף על פי שהמים נטמאו, הוא מכיון שההזאה שנטמאו המים על ידה, נעשית לצורך טהרה.</w:t>
      </w:r>
    </w:p>
  </w:footnote>
  <w:footnote w:id="922">
    <w:p w14:paraId="72C012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922</w:t>
      </w:r>
      <w:r>
        <w:rPr>
          <w:rFonts w:ascii="David" w:hAnsi="David" w:cs="David"/>
          <w:sz w:val="24"/>
          <w:szCs w:val="24"/>
          <w:rtl/>
        </w:rPr>
        <w:t xml:space="preserve"> </w:t>
      </w:r>
      <w:r>
        <w:rPr>
          <w:rFonts w:ascii="David" w:hAnsi="David" w:cs="David"/>
          <w:color w:val="000000"/>
          <w:sz w:val="18"/>
          <w:szCs w:val="18"/>
          <w:rtl/>
        </w:rPr>
        <w:t>. עי' ציון 909.</w:t>
      </w:r>
    </w:p>
  </w:footnote>
  <w:footnote w:id="923">
    <w:p w14:paraId="4D96EEE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923</w:t>
      </w:r>
      <w:r>
        <w:rPr>
          <w:rFonts w:ascii="David" w:hAnsi="David" w:cs="David"/>
          <w:sz w:val="24"/>
          <w:szCs w:val="24"/>
          <w:rtl/>
        </w:rPr>
        <w:t xml:space="preserve"> </w:t>
      </w:r>
      <w:r>
        <w:rPr>
          <w:rFonts w:ascii="David" w:hAnsi="David" w:cs="David"/>
          <w:color w:val="000000"/>
          <w:sz w:val="18"/>
          <w:szCs w:val="18"/>
          <w:rtl/>
        </w:rPr>
        <w:t>. עי' זבחים שם, ורש"י שם ד"ה ורבנן.</w:t>
      </w:r>
    </w:p>
  </w:footnote>
  <w:footnote w:id="924">
    <w:p w14:paraId="32589E2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924</w:t>
      </w:r>
      <w:r>
        <w:rPr>
          <w:rFonts w:ascii="David" w:hAnsi="David" w:cs="David"/>
          <w:sz w:val="24"/>
          <w:szCs w:val="24"/>
          <w:rtl/>
        </w:rPr>
        <w:t xml:space="preserve"> </w:t>
      </w:r>
      <w:r>
        <w:rPr>
          <w:rFonts w:ascii="David" w:hAnsi="David" w:cs="David"/>
          <w:color w:val="000000"/>
          <w:sz w:val="18"/>
          <w:szCs w:val="18"/>
          <w:rtl/>
        </w:rPr>
        <w:t>. עי' רמב"ם פרה פט"ו ה"ט, ורמב"ם שבציון 925 ואילך, וציון 928 שהיינו כחכמים, (וע"ש שיש לפרש כר"א), ועי' דעת יוסף אהלות פ"ט מט"ז, ושם שכ"מ מרמב"ם שבציון 919, שהוצרך ללמוד מהכתוב שכל הטמאים מקבלים הזאה, ומ' שדוקא משום שהטומאה וההזאה בב"א, עי' לעיל; סמ"ג שם; ראש יוסף חולין ט ב; דובב מישרים ח"ג סי' עו אות ד, בד' תוס' פסחים סט א ד"ה שמא. ועי' תוס' מהר"ם מר"ב יבמות עא ב: והא קי"ל דמי חטאת שנטמאו מטהרין, וכעי"ז בשמ"ק זבחים עט א, ומ' שהלכה כר"א, ועי' תוס' חגיגה כג א ד"ה מת, וצ"ב.</w:t>
      </w:r>
    </w:p>
  </w:footnote>
  <w:footnote w:id="925">
    <w:p w14:paraId="0CB78C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925</w:t>
      </w:r>
      <w:r>
        <w:rPr>
          <w:rFonts w:ascii="David" w:hAnsi="David" w:cs="David"/>
          <w:sz w:val="24"/>
          <w:szCs w:val="24"/>
          <w:rtl/>
        </w:rPr>
        <w:t xml:space="preserve"> </w:t>
      </w:r>
      <w:r>
        <w:rPr>
          <w:rFonts w:ascii="David" w:hAnsi="David" w:cs="David"/>
          <w:color w:val="000000"/>
          <w:sz w:val="18"/>
          <w:szCs w:val="18"/>
          <w:rtl/>
        </w:rPr>
        <w:t>. פרה פי"א מ"א; רמב"ם פרה פ"ט הט"ז. וכעי"ז בברייתא חולין ט ב, ושם הל' "טמאה", ועי' רש"י שבציון 963, שהברייתא עוסקת במים שאינם מקודשים, וקמ"ל שהם טמאים מחמת הנוגע, עי' להלן, שהמקודשים מטמאים בלא"ה, עי' ציון 1059, ועי' תוס' שם ד"ה או שירד ור"ש פרה שם שפי' שכיון שהטעם משום טומאה, נקטו ל' טמאה, ולא לשון פסולה, ועוד, להשמיע שאף הצלוחית טמאה, ועי' ציון 928 שפי' באופן נוסף.</w:t>
      </w:r>
    </w:p>
  </w:footnote>
  <w:footnote w:id="926">
    <w:p w14:paraId="789E26D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926</w:t>
      </w:r>
      <w:r>
        <w:rPr>
          <w:rFonts w:ascii="David" w:hAnsi="David" w:cs="David"/>
          <w:sz w:val="24"/>
          <w:szCs w:val="24"/>
          <w:rtl/>
        </w:rPr>
        <w:t xml:space="preserve"> </w:t>
      </w:r>
      <w:r>
        <w:rPr>
          <w:rFonts w:ascii="David" w:hAnsi="David" w:cs="David"/>
          <w:color w:val="000000"/>
          <w:sz w:val="18"/>
          <w:szCs w:val="18"/>
          <w:rtl/>
        </w:rPr>
        <w:t>. עי' חולין י א.</w:t>
      </w:r>
    </w:p>
  </w:footnote>
  <w:footnote w:id="927">
    <w:p w14:paraId="6643EDB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927</w:t>
      </w:r>
      <w:r>
        <w:rPr>
          <w:rFonts w:ascii="David" w:hAnsi="David" w:cs="David"/>
          <w:sz w:val="24"/>
          <w:szCs w:val="24"/>
          <w:rtl/>
        </w:rPr>
        <w:t xml:space="preserve"> </w:t>
      </w:r>
      <w:r>
        <w:rPr>
          <w:rFonts w:ascii="David" w:hAnsi="David" w:cs="David"/>
          <w:color w:val="000000"/>
          <w:sz w:val="18"/>
          <w:szCs w:val="18"/>
          <w:rtl/>
        </w:rPr>
        <w:t>. עי' ברייתא שם ט ב; עי' רמב"ם שם ופהמ"ש שם; עי' סמ"ג עשין רלב; עי' ראשונים ואחרונים דלהלן. ועי' תפא"י בועז שם אות ה, למה אין לטהר משום שהכיסוי אינו טמא, וספק אם נגע במים. ועי' תוס' שם ד"ה שאני ותוס' הרא"ש שם ותוס' פסחים י ב ד"ה שאני, שבאופן שיש לתלות שאדם טהור נגע כדי לשמרה, לא חששו לאדם טמא, ועי' רמב"ן חולין שם שדחה, ועי' מאירי וריטב"א שם.</w:t>
      </w:r>
    </w:p>
  </w:footnote>
  <w:footnote w:id="928">
    <w:p w14:paraId="5702DA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928</w:t>
      </w:r>
      <w:r>
        <w:rPr>
          <w:rFonts w:ascii="David" w:hAnsi="David" w:cs="David"/>
          <w:sz w:val="24"/>
          <w:szCs w:val="24"/>
          <w:rtl/>
        </w:rPr>
        <w:t xml:space="preserve"> </w:t>
      </w:r>
      <w:r>
        <w:rPr>
          <w:rFonts w:ascii="David" w:hAnsi="David" w:cs="David"/>
          <w:color w:val="000000"/>
          <w:sz w:val="18"/>
          <w:szCs w:val="18"/>
          <w:rtl/>
        </w:rPr>
        <w:t>. עי' ציון 912. עי' ר"ש שם ותוס' חולין שם ד"ה או שירד, שהברייתא חולין שם שנקטה בזה ל' טומאה, ולא ל' פסול, סוברת כר' אלעזר שבציון 901, שאין המים נפסלים בכך, (ועי' ציון 925), ומ' שהמשנה שנקטה ל' פסול, כחכמים, ועי' ציון 910 שי"ס שר"א מודה מדרבנן, ועי' ציון 952, שי"ס שבטומאת מת נפסל לד"ה, אבל י"ל שאין לחוש לזה, שרובם אינם טמאי מת, וציון 965, שי"ס שקודם קידוש נפסל לד"ה, ועי' ציון 963 בצלוחית קודם קידוש.</w:t>
      </w:r>
    </w:p>
  </w:footnote>
  <w:footnote w:id="929">
    <w:p w14:paraId="2392831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929</w:t>
      </w:r>
      <w:r>
        <w:rPr>
          <w:rFonts w:ascii="David" w:hAnsi="David" w:cs="David"/>
          <w:sz w:val="24"/>
          <w:szCs w:val="24"/>
          <w:rtl/>
        </w:rPr>
        <w:t xml:space="preserve"> </w:t>
      </w:r>
      <w:r>
        <w:rPr>
          <w:rFonts w:ascii="David" w:hAnsi="David" w:cs="David"/>
          <w:color w:val="000000"/>
          <w:sz w:val="18"/>
          <w:szCs w:val="18"/>
          <w:rtl/>
        </w:rPr>
        <w:t>. עי' פהמ"ש פרה שם; עי' רמב"ן חולין שם בפי' הא', שהוא משום שרוב העולם ע"ה (ועי' חזו"א פרה סי' יד ס"ק א, שאע"פ שע"ה נאמן לחטאת, ע"ע עם הארץ, היינו כשאומר שהוא טהור), ועוד שאף חברים מיעוטם טמאים, ועי' מרומי שדה פרה שם; שו"ת הרשב"א ח"א סי' שנט בפי' א; עי' רע"ב שם; תפא"י שם אות ב; מרומי שדה שם. ועי' תפא"י שם בועז אות א וחזו"א שם, שכיון שרוב טמא אין לטהר משום ספק טומאה שאין בו דעת להישאל, ואף ברה"ר, וע"ע ספק טומאה, ועי' להלן ציון 933, שי"מ באופ"א, ועי' ראש יוסף שם טעם אחר שהוצרכו הראשונים לרוב.</w:t>
      </w:r>
    </w:p>
  </w:footnote>
  <w:footnote w:id="930">
    <w:p w14:paraId="46BC9F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930</w:t>
      </w:r>
      <w:r>
        <w:rPr>
          <w:rFonts w:ascii="David" w:hAnsi="David" w:cs="David"/>
          <w:sz w:val="24"/>
          <w:szCs w:val="24"/>
          <w:rtl/>
        </w:rPr>
        <w:t xml:space="preserve"> </w:t>
      </w:r>
      <w:r>
        <w:rPr>
          <w:rFonts w:ascii="David" w:hAnsi="David" w:cs="David"/>
          <w:color w:val="000000"/>
          <w:sz w:val="18"/>
          <w:szCs w:val="18"/>
          <w:rtl/>
        </w:rPr>
        <w:t>. עי' ציון 1041 ואילך, וע"ע מעלות.</w:t>
      </w:r>
    </w:p>
  </w:footnote>
  <w:footnote w:id="931">
    <w:p w14:paraId="4D4241B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931</w:t>
      </w:r>
      <w:r>
        <w:rPr>
          <w:rFonts w:ascii="David" w:hAnsi="David" w:cs="David"/>
          <w:sz w:val="24"/>
          <w:szCs w:val="24"/>
          <w:rtl/>
        </w:rPr>
        <w:t xml:space="preserve"> </w:t>
      </w:r>
      <w:r>
        <w:rPr>
          <w:rFonts w:ascii="David" w:hAnsi="David" w:cs="David"/>
          <w:color w:val="000000"/>
          <w:sz w:val="18"/>
          <w:szCs w:val="18"/>
          <w:rtl/>
        </w:rPr>
        <w:t>. עי' ראש יוסף חולין שם; עי' תפא"י בועז פרה פי"ב אות ט; עי' שו"מ קמא ח"ג סי' רטו.</w:t>
      </w:r>
    </w:p>
  </w:footnote>
  <w:footnote w:id="932">
    <w:p w14:paraId="01DFBA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932</w:t>
      </w:r>
      <w:r>
        <w:rPr>
          <w:rFonts w:ascii="David" w:hAnsi="David" w:cs="David"/>
          <w:sz w:val="24"/>
          <w:szCs w:val="24"/>
          <w:rtl/>
        </w:rPr>
        <w:t xml:space="preserve"> </w:t>
      </w:r>
      <w:r>
        <w:rPr>
          <w:rFonts w:ascii="David" w:hAnsi="David" w:cs="David"/>
          <w:color w:val="000000"/>
          <w:sz w:val="18"/>
          <w:szCs w:val="18"/>
          <w:rtl/>
        </w:rPr>
        <w:t>. עי' רש"י חולין י א ד"ה ואין וד"ה ש"מ, וראש יוסף שם ט ב בדעתו, ומאירי שם ורא"ש פרה שם. ועי' משנ"א שם, שכ"מ הל' בחולין שם. ואף לפ"ז לכאו' אינו פסול מה"ת, כיון שאין בו דעת להשאל, וע"ע ספק טומאה, ועי' להלן.</w:t>
      </w:r>
    </w:p>
  </w:footnote>
  <w:footnote w:id="933">
    <w:p w14:paraId="7EF9595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933</w:t>
      </w:r>
      <w:r>
        <w:rPr>
          <w:rFonts w:ascii="David" w:hAnsi="David" w:cs="David"/>
          <w:sz w:val="24"/>
          <w:szCs w:val="24"/>
          <w:rtl/>
        </w:rPr>
        <w:t xml:space="preserve"> </w:t>
      </w:r>
      <w:r>
        <w:rPr>
          <w:rFonts w:ascii="David" w:hAnsi="David" w:cs="David"/>
          <w:color w:val="000000"/>
          <w:sz w:val="18"/>
          <w:szCs w:val="18"/>
          <w:rtl/>
        </w:rPr>
        <w:t>. ע"ע הנ"ל. ר"ת בסה"י סי' קסה, ותוס' פסחים שם וחולין ט ב ד"ה שאני ותוס' הרא"ש ורמב"ן ומאירי וריטב"א ור"ן שם ורמב"ן ורשב"א ור"ן נדה ד א ושו"ת הרשב"א שם, בשמו. ועי' מרומי שדה פרה פי"א שם שתמה, שהיינו דוקא בכלי שנמצא שלא במקומו, וע"ע הנ"ל. ועי' חזו"א שם, שמטעם זה אין לטהר המים משום ספק טומאה שאין בו דעת להישאל, שבזה גזרו, וע"ע הנ"ל.</w:t>
      </w:r>
    </w:p>
  </w:footnote>
  <w:footnote w:id="934">
    <w:p w14:paraId="3EE4E62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934</w:t>
      </w:r>
      <w:r>
        <w:rPr>
          <w:rFonts w:ascii="David" w:hAnsi="David" w:cs="David"/>
          <w:sz w:val="24"/>
          <w:szCs w:val="24"/>
          <w:rtl/>
        </w:rPr>
        <w:t xml:space="preserve"> </w:t>
      </w:r>
      <w:r>
        <w:rPr>
          <w:rFonts w:ascii="David" w:hAnsi="David" w:cs="David"/>
          <w:color w:val="000000"/>
          <w:sz w:val="18"/>
          <w:szCs w:val="18"/>
          <w:rtl/>
        </w:rPr>
        <w:t>. ציון 963. ועי' לעיל.</w:t>
      </w:r>
    </w:p>
  </w:footnote>
  <w:footnote w:id="935">
    <w:p w14:paraId="6E5F24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935</w:t>
      </w:r>
      <w:r>
        <w:rPr>
          <w:rFonts w:ascii="David" w:hAnsi="David" w:cs="David"/>
          <w:sz w:val="24"/>
          <w:szCs w:val="24"/>
          <w:rtl/>
        </w:rPr>
        <w:t xml:space="preserve"> </w:t>
      </w:r>
      <w:r>
        <w:rPr>
          <w:rFonts w:ascii="David" w:hAnsi="David" w:cs="David"/>
          <w:color w:val="000000"/>
          <w:sz w:val="18"/>
          <w:szCs w:val="18"/>
          <w:rtl/>
        </w:rPr>
        <w:t>. עי' חולין י א, לגי' שלפנינו, וכ"ה גי' רש"י: א"נ וכו' לא טומאה איכא, ועי' ר"ש ורא"ש ורע"ב פרה שם. ועי' רמב"ן ומאירי חולין ט ב וציון 878. ועי' אחיעזר ח"ב סי' א אות ה.</w:t>
      </w:r>
    </w:p>
  </w:footnote>
  <w:footnote w:id="936">
    <w:p w14:paraId="52F854B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936</w:t>
      </w:r>
      <w:r>
        <w:rPr>
          <w:rFonts w:ascii="David" w:hAnsi="David" w:cs="David"/>
          <w:sz w:val="24"/>
          <w:szCs w:val="24"/>
          <w:rtl/>
        </w:rPr>
        <w:t xml:space="preserve"> </w:t>
      </w:r>
      <w:r>
        <w:rPr>
          <w:rFonts w:ascii="David" w:hAnsi="David" w:cs="David"/>
          <w:color w:val="000000"/>
          <w:sz w:val="18"/>
          <w:szCs w:val="18"/>
          <w:rtl/>
        </w:rPr>
        <w:t>. עי' פרה שם. ועי' ראש יוסף חולין שם, שאם הוא במקום שאין שרצים מגיעים לשם, טמא.</w:t>
      </w:r>
    </w:p>
  </w:footnote>
  <w:footnote w:id="937">
    <w:p w14:paraId="1BD763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937</w:t>
      </w:r>
      <w:r>
        <w:rPr>
          <w:rFonts w:ascii="David" w:hAnsi="David" w:cs="David"/>
          <w:sz w:val="24"/>
          <w:szCs w:val="24"/>
          <w:rtl/>
        </w:rPr>
        <w:t xml:space="preserve"> </w:t>
      </w:r>
      <w:r>
        <w:rPr>
          <w:rFonts w:ascii="David" w:hAnsi="David" w:cs="David"/>
          <w:color w:val="000000"/>
          <w:sz w:val="18"/>
          <w:szCs w:val="18"/>
          <w:rtl/>
        </w:rPr>
        <w:t>. ריב"ל בחולין י א.</w:t>
      </w:r>
    </w:p>
  </w:footnote>
  <w:footnote w:id="938">
    <w:p w14:paraId="311B74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938</w:t>
      </w:r>
      <w:r>
        <w:rPr>
          <w:rFonts w:ascii="David" w:hAnsi="David" w:cs="David"/>
          <w:sz w:val="24"/>
          <w:szCs w:val="24"/>
          <w:rtl/>
        </w:rPr>
        <w:t xml:space="preserve"> </w:t>
      </w:r>
      <w:r>
        <w:rPr>
          <w:rFonts w:ascii="David" w:hAnsi="David" w:cs="David"/>
          <w:color w:val="000000"/>
          <w:sz w:val="18"/>
          <w:szCs w:val="18"/>
          <w:rtl/>
        </w:rPr>
        <w:t>. רש"י שם ד"ה מפני; רא"ש פרה שם. וכעי"ז ברמב"ם ובסמ"ג שם ובמאירי חולין ט ב. ועי' תפא"י פרה שם בועז אות ב ומשנ"א שם. ועי' אחיעזר שם וחזו"א שם וס"ק ה.</w:t>
      </w:r>
    </w:p>
  </w:footnote>
  <w:footnote w:id="939">
    <w:p w14:paraId="0555115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939</w:t>
      </w:r>
      <w:r>
        <w:rPr>
          <w:rFonts w:ascii="David" w:hAnsi="David" w:cs="David"/>
          <w:sz w:val="24"/>
          <w:szCs w:val="24"/>
          <w:rtl/>
        </w:rPr>
        <w:t xml:space="preserve"> </w:t>
      </w:r>
      <w:r>
        <w:rPr>
          <w:rFonts w:ascii="David" w:hAnsi="David" w:cs="David"/>
          <w:color w:val="000000"/>
          <w:sz w:val="18"/>
          <w:szCs w:val="18"/>
          <w:rtl/>
        </w:rPr>
        <w:t>. ר"ש שם; רע"ב שם; תפא"י שם יכין אות ג. ועי' ראש יוסף חולין שם, שלא ניח"ל לפרש כציון הקודם, משום שא' מאלף טהור לחטאת. ועי' משנ"א שם, שי"ל שטהור משום שאין בו דעת להישאל.</w:t>
      </w:r>
    </w:p>
  </w:footnote>
  <w:footnote w:id="940">
    <w:p w14:paraId="2B86DE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940</w:t>
      </w:r>
      <w:r>
        <w:rPr>
          <w:rFonts w:ascii="David" w:hAnsi="David" w:cs="David"/>
          <w:sz w:val="24"/>
          <w:szCs w:val="24"/>
          <w:rtl/>
        </w:rPr>
        <w:t xml:space="preserve"> </w:t>
      </w:r>
      <w:r>
        <w:rPr>
          <w:rFonts w:ascii="David" w:hAnsi="David" w:cs="David"/>
          <w:color w:val="000000"/>
          <w:sz w:val="18"/>
          <w:szCs w:val="18"/>
          <w:rtl/>
        </w:rPr>
        <w:t>. ציון 871. ונ"מ בדין דלעיל, באופן שאין לחוש לחולדה, עי' ציון 871, ועי' תפא"י שם אות ז.</w:t>
      </w:r>
    </w:p>
  </w:footnote>
  <w:footnote w:id="941">
    <w:p w14:paraId="70116D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941</w:t>
      </w:r>
      <w:r>
        <w:rPr>
          <w:rFonts w:ascii="David" w:hAnsi="David" w:cs="David"/>
          <w:sz w:val="24"/>
          <w:szCs w:val="24"/>
          <w:rtl/>
        </w:rPr>
        <w:t xml:space="preserve"> </w:t>
      </w:r>
      <w:r>
        <w:rPr>
          <w:rFonts w:ascii="David" w:hAnsi="David" w:cs="David"/>
          <w:color w:val="000000"/>
          <w:sz w:val="18"/>
          <w:szCs w:val="18"/>
          <w:rtl/>
        </w:rPr>
        <w:t>. עי' ציון 380 ואילך.</w:t>
      </w:r>
    </w:p>
  </w:footnote>
  <w:footnote w:id="942">
    <w:p w14:paraId="679CBB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942</w:t>
      </w:r>
      <w:r>
        <w:rPr>
          <w:rFonts w:ascii="David" w:hAnsi="David" w:cs="David"/>
          <w:sz w:val="24"/>
          <w:szCs w:val="24"/>
          <w:rtl/>
        </w:rPr>
        <w:t xml:space="preserve"> </w:t>
      </w:r>
      <w:r>
        <w:rPr>
          <w:rFonts w:ascii="David" w:hAnsi="David" w:cs="David"/>
          <w:color w:val="000000"/>
          <w:sz w:val="18"/>
          <w:szCs w:val="18"/>
          <w:rtl/>
        </w:rPr>
        <w:t>. פרה פ"ה מ"ג; רמב"ם פרה פ"ט ה"י. ועי' ציון 778, שאף ר' יהושע בפרה שם אינו חולק בזה. ועי' ציונים 99, 448.</w:t>
      </w:r>
    </w:p>
  </w:footnote>
  <w:footnote w:id="943">
    <w:p w14:paraId="02CAA6B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943</w:t>
      </w:r>
      <w:r>
        <w:rPr>
          <w:rFonts w:ascii="David" w:hAnsi="David" w:cs="David"/>
          <w:sz w:val="24"/>
          <w:szCs w:val="24"/>
          <w:rtl/>
        </w:rPr>
        <w:t xml:space="preserve"> </w:t>
      </w:r>
      <w:r>
        <w:rPr>
          <w:rFonts w:ascii="David" w:hAnsi="David" w:cs="David"/>
          <w:color w:val="000000"/>
          <w:sz w:val="18"/>
          <w:szCs w:val="18"/>
          <w:rtl/>
        </w:rPr>
        <w:t>. פהמ"ש לרמב"ם שם. ועי' תוי"ט שם, שלד' שבציון 778 אין הכרח לזה, ועי' בית דוד ומים טהורים שם, שכיון שנטמאה אין המים ראויים לקידוש.</w:t>
      </w:r>
    </w:p>
  </w:footnote>
  <w:footnote w:id="944">
    <w:p w14:paraId="336B36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944</w:t>
      </w:r>
      <w:r>
        <w:rPr>
          <w:rFonts w:ascii="David" w:hAnsi="David" w:cs="David"/>
          <w:sz w:val="24"/>
          <w:szCs w:val="24"/>
          <w:rtl/>
        </w:rPr>
        <w:t xml:space="preserve"> </w:t>
      </w:r>
      <w:r>
        <w:rPr>
          <w:rFonts w:ascii="David" w:hAnsi="David" w:cs="David"/>
          <w:color w:val="000000"/>
          <w:sz w:val="18"/>
          <w:szCs w:val="18"/>
          <w:rtl/>
        </w:rPr>
        <w:t>. פהמ"ש שם. וצ"ל שאע"פ שגם כשלא היתה טמאה, משקים שבה היו טמאים לחטאת, לא החמירו במשקים הבלועים, ועי' חזו"א פרה סי' י ס"ק יב וסוס"ק יג, ומ' שר"ל שאם היו בה שאר משקים דינה כנטמאת, ודוקא כשלא היו בה אלא מים שמלאם לחטאת, אם לא נטמאת מקדשים בה, וכ"ה לסוברים שאם בלעה מים שאין ראויים לקידוש, לד"ה אין מקדשים בה, עי' ציון 788. ועי' חזו"א שם ס"ק יב, שנקט שהקרויה נטמאה אחר שבלעה המים. ועי' חזו"א שם ס"ק יג, שה"ה בשאר כלים אין מקדשים אם בלועים שם משקים טמאים, ואולי כוונתו שפולט ע"י כבישה, אבל לכאו' אין פולט גוף המשקים, ועי' ציון 788.</w:t>
      </w:r>
    </w:p>
  </w:footnote>
  <w:footnote w:id="945">
    <w:p w14:paraId="331267B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945</w:t>
      </w:r>
      <w:r>
        <w:rPr>
          <w:rFonts w:ascii="David" w:hAnsi="David" w:cs="David"/>
          <w:sz w:val="24"/>
          <w:szCs w:val="24"/>
          <w:rtl/>
        </w:rPr>
        <w:t xml:space="preserve"> </w:t>
      </w:r>
      <w:r>
        <w:rPr>
          <w:rFonts w:ascii="David" w:hAnsi="David" w:cs="David"/>
          <w:color w:val="000000"/>
          <w:sz w:val="18"/>
          <w:szCs w:val="18"/>
          <w:rtl/>
        </w:rPr>
        <w:t>. רמב"ם שם ובפהמ"ש שם; רע"ב שם.</w:t>
      </w:r>
    </w:p>
  </w:footnote>
  <w:footnote w:id="946">
    <w:p w14:paraId="642253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946</w:t>
      </w:r>
      <w:r>
        <w:rPr>
          <w:rFonts w:ascii="David" w:hAnsi="David" w:cs="David"/>
          <w:sz w:val="24"/>
          <w:szCs w:val="24"/>
          <w:rtl/>
        </w:rPr>
        <w:t xml:space="preserve"> </w:t>
      </w:r>
      <w:r>
        <w:rPr>
          <w:rFonts w:ascii="David" w:hAnsi="David" w:cs="David"/>
          <w:color w:val="000000"/>
          <w:sz w:val="18"/>
          <w:szCs w:val="18"/>
          <w:rtl/>
        </w:rPr>
        <w:t>. א"ר שם; משנ"א שם. ולכאו' אף בלא טומאת שאר המים, יש לחוש לטומאת עצמם, אבל אפשר שכיון שאף אם היו טהורים אינם ראויים, עי' להלן, אין להחמיר בטמאים, אלא משום שכל המים פסולים, ועי' ציון 785.</w:t>
      </w:r>
    </w:p>
  </w:footnote>
  <w:footnote w:id="947">
    <w:p w14:paraId="13F450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947</w:t>
      </w:r>
      <w:r>
        <w:rPr>
          <w:rFonts w:ascii="David" w:hAnsi="David" w:cs="David"/>
          <w:sz w:val="24"/>
          <w:szCs w:val="24"/>
          <w:rtl/>
        </w:rPr>
        <w:t xml:space="preserve"> </w:t>
      </w:r>
      <w:r>
        <w:rPr>
          <w:rFonts w:ascii="David" w:hAnsi="David" w:cs="David"/>
          <w:color w:val="000000"/>
          <w:sz w:val="18"/>
          <w:szCs w:val="18"/>
          <w:rtl/>
        </w:rPr>
        <w:t>. ע"ע טמאת משקים ציון 103. משנ"א שם. וע"ש בטעם שאין לטהר משום שספק אם פלטה, והוא ספק טומאה שאין בו דעת להישאל, ע"ע ספק טומאה.</w:t>
      </w:r>
    </w:p>
  </w:footnote>
  <w:footnote w:id="948">
    <w:p w14:paraId="1EB1133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948</w:t>
      </w:r>
      <w:r>
        <w:rPr>
          <w:rFonts w:ascii="David" w:hAnsi="David" w:cs="David"/>
          <w:sz w:val="24"/>
          <w:szCs w:val="24"/>
          <w:rtl/>
        </w:rPr>
        <w:t xml:space="preserve"> </w:t>
      </w:r>
      <w:r>
        <w:rPr>
          <w:rFonts w:ascii="David" w:hAnsi="David" w:cs="David"/>
          <w:color w:val="000000"/>
          <w:sz w:val="18"/>
          <w:szCs w:val="18"/>
          <w:rtl/>
        </w:rPr>
        <w:t>. חזו"א שם, וע"ש שכ"כ לראשונים שבציון 788, אבל לכאו' הוא לד"ה.</w:t>
      </w:r>
    </w:p>
  </w:footnote>
  <w:footnote w:id="949">
    <w:p w14:paraId="0A3AF9C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949</w:t>
      </w:r>
      <w:r>
        <w:rPr>
          <w:rFonts w:ascii="David" w:hAnsi="David" w:cs="David"/>
          <w:sz w:val="24"/>
          <w:szCs w:val="24"/>
          <w:rtl/>
        </w:rPr>
        <w:t xml:space="preserve"> </w:t>
      </w:r>
      <w:r>
        <w:rPr>
          <w:rFonts w:ascii="David" w:hAnsi="David" w:cs="David"/>
          <w:color w:val="000000"/>
          <w:sz w:val="18"/>
          <w:szCs w:val="18"/>
          <w:rtl/>
        </w:rPr>
        <w:t>. עי' ציון 778. ועי' ציון 790, שי"ג בע"א.</w:t>
      </w:r>
    </w:p>
  </w:footnote>
  <w:footnote w:id="950">
    <w:p w14:paraId="138DF8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950</w:t>
      </w:r>
      <w:r>
        <w:rPr>
          <w:rFonts w:ascii="David" w:hAnsi="David" w:cs="David"/>
          <w:sz w:val="24"/>
          <w:szCs w:val="24"/>
          <w:rtl/>
        </w:rPr>
        <w:t xml:space="preserve"> </w:t>
      </w:r>
      <w:r>
        <w:rPr>
          <w:rFonts w:ascii="David" w:hAnsi="David" w:cs="David"/>
          <w:color w:val="000000"/>
          <w:sz w:val="18"/>
          <w:szCs w:val="18"/>
          <w:rtl/>
        </w:rPr>
        <w:t>. רע"ב שם; משנ"א שם.</w:t>
      </w:r>
    </w:p>
  </w:footnote>
  <w:footnote w:id="951">
    <w:p w14:paraId="4887F3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951</w:t>
      </w:r>
      <w:r>
        <w:rPr>
          <w:rFonts w:ascii="David" w:hAnsi="David" w:cs="David"/>
          <w:sz w:val="24"/>
          <w:szCs w:val="24"/>
          <w:rtl/>
        </w:rPr>
        <w:t xml:space="preserve"> </w:t>
      </w:r>
      <w:r>
        <w:rPr>
          <w:rFonts w:ascii="David" w:hAnsi="David" w:cs="David"/>
          <w:color w:val="000000"/>
          <w:sz w:val="18"/>
          <w:szCs w:val="18"/>
          <w:rtl/>
        </w:rPr>
        <w:t>. ציון 785.</w:t>
      </w:r>
    </w:p>
  </w:footnote>
  <w:footnote w:id="952">
    <w:p w14:paraId="228548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952</w:t>
      </w:r>
      <w:r>
        <w:rPr>
          <w:rFonts w:ascii="David" w:hAnsi="David" w:cs="David"/>
          <w:sz w:val="24"/>
          <w:szCs w:val="24"/>
          <w:rtl/>
        </w:rPr>
        <w:t xml:space="preserve"> </w:t>
      </w:r>
      <w:r>
        <w:rPr>
          <w:rFonts w:ascii="David" w:hAnsi="David" w:cs="David"/>
          <w:color w:val="000000"/>
          <w:sz w:val="18"/>
          <w:szCs w:val="18"/>
          <w:rtl/>
        </w:rPr>
        <w:t>. עי' ציון 901. ראשונים שבציון 1024. ועי' חזו"א פרה סי' ה ס"ק יא, שצידד שלא נפסל אלא כשנטמא במת עצמו, ועי' טו"א חגיגה כג א.</w:t>
      </w:r>
    </w:p>
  </w:footnote>
  <w:footnote w:id="953">
    <w:p w14:paraId="6E2C78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953</w:t>
      </w:r>
      <w:r>
        <w:rPr>
          <w:rFonts w:ascii="David" w:hAnsi="David" w:cs="David"/>
          <w:sz w:val="24"/>
          <w:szCs w:val="24"/>
          <w:rtl/>
        </w:rPr>
        <w:t xml:space="preserve"> </w:t>
      </w:r>
      <w:r>
        <w:rPr>
          <w:rFonts w:ascii="David" w:hAnsi="David" w:cs="David"/>
          <w:color w:val="000000"/>
          <w:sz w:val="18"/>
          <w:szCs w:val="18"/>
          <w:rtl/>
        </w:rPr>
        <w:t>. ר"ף בשמ"ק (אילן) זבחים צג א. ועי' טו"א חגיגה כג א, שתמה בחילוק בין טומאת מת לשאר טומאות.</w:t>
      </w:r>
    </w:p>
  </w:footnote>
  <w:footnote w:id="954">
    <w:p w14:paraId="3B1492B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954</w:t>
      </w:r>
      <w:r>
        <w:rPr>
          <w:rFonts w:ascii="David" w:hAnsi="David" w:cs="David"/>
          <w:sz w:val="24"/>
          <w:szCs w:val="24"/>
          <w:rtl/>
        </w:rPr>
        <w:t xml:space="preserve"> </w:t>
      </w:r>
      <w:r>
        <w:rPr>
          <w:rFonts w:ascii="David" w:hAnsi="David" w:cs="David"/>
          <w:color w:val="000000"/>
          <w:sz w:val="18"/>
          <w:szCs w:val="18"/>
          <w:rtl/>
        </w:rPr>
        <w:t>. ע"ע הזאה (ב): בטהרת טמא מת.</w:t>
      </w:r>
    </w:p>
  </w:footnote>
  <w:footnote w:id="955">
    <w:p w14:paraId="1F4C40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955</w:t>
      </w:r>
      <w:r>
        <w:rPr>
          <w:rFonts w:ascii="David" w:hAnsi="David" w:cs="David"/>
          <w:sz w:val="24"/>
          <w:szCs w:val="24"/>
          <w:rtl/>
        </w:rPr>
        <w:t xml:space="preserve"> </w:t>
      </w:r>
      <w:r>
        <w:rPr>
          <w:rFonts w:ascii="David" w:hAnsi="David" w:cs="David"/>
          <w:color w:val="000000"/>
          <w:sz w:val="18"/>
          <w:szCs w:val="18"/>
          <w:rtl/>
        </w:rPr>
        <w:t>. עי' לעיל ציון 903 ואילך.</w:t>
      </w:r>
    </w:p>
  </w:footnote>
  <w:footnote w:id="956">
    <w:p w14:paraId="4B5280A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956</w:t>
      </w:r>
      <w:r>
        <w:rPr>
          <w:rFonts w:ascii="David" w:hAnsi="David" w:cs="David"/>
          <w:sz w:val="24"/>
          <w:szCs w:val="24"/>
          <w:rtl/>
        </w:rPr>
        <w:t xml:space="preserve"> </w:t>
      </w:r>
      <w:r>
        <w:rPr>
          <w:rFonts w:ascii="David" w:hAnsi="David" w:cs="David"/>
          <w:color w:val="000000"/>
          <w:sz w:val="18"/>
          <w:szCs w:val="18"/>
          <w:rtl/>
        </w:rPr>
        <w:t>. טו"א חגיגה שם, וכעי"ז בעולת שלמה זבחים שם. ועי' ציון 903. ועי' חזו"א שם. ועי' יד דוד חגיגה שם, בע"א.</w:t>
      </w:r>
    </w:p>
  </w:footnote>
  <w:footnote w:id="957">
    <w:p w14:paraId="371E7B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957</w:t>
      </w:r>
      <w:r>
        <w:rPr>
          <w:rFonts w:ascii="David" w:hAnsi="David" w:cs="David"/>
          <w:sz w:val="24"/>
          <w:szCs w:val="24"/>
          <w:rtl/>
        </w:rPr>
        <w:t xml:space="preserve"> </w:t>
      </w:r>
      <w:r>
        <w:rPr>
          <w:rFonts w:ascii="David" w:hAnsi="David" w:cs="David"/>
          <w:color w:val="000000"/>
          <w:sz w:val="18"/>
          <w:szCs w:val="18"/>
          <w:rtl/>
        </w:rPr>
        <w:t>. עי' ציון 909.</w:t>
      </w:r>
    </w:p>
  </w:footnote>
  <w:footnote w:id="958">
    <w:p w14:paraId="27853D9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958</w:t>
      </w:r>
      <w:r>
        <w:rPr>
          <w:rFonts w:ascii="David" w:hAnsi="David" w:cs="David"/>
          <w:sz w:val="24"/>
          <w:szCs w:val="24"/>
          <w:rtl/>
        </w:rPr>
        <w:t xml:space="preserve"> </w:t>
      </w:r>
      <w:r>
        <w:rPr>
          <w:rFonts w:ascii="David" w:hAnsi="David" w:cs="David"/>
          <w:color w:val="000000"/>
          <w:sz w:val="18"/>
          <w:szCs w:val="18"/>
          <w:rtl/>
        </w:rPr>
        <w:t>. עולת שלמה שם, וע"ש ראיה לזה, שמי חטאת שהיזם על הטמא אין בהם טומאה. ועי' טו"א שם שהניח בקו' לד' רבא, ועי' ציון הבא, מסקנתו. ועי' שו"ת בית שערים או"ח סוס"י שכט וחזו"א שם סוף אות יא, פי' נוספים.</w:t>
      </w:r>
    </w:p>
  </w:footnote>
  <w:footnote w:id="959">
    <w:p w14:paraId="3D97B0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959</w:t>
      </w:r>
      <w:r>
        <w:rPr>
          <w:rFonts w:ascii="David" w:hAnsi="David" w:cs="David"/>
          <w:sz w:val="24"/>
          <w:szCs w:val="24"/>
          <w:rtl/>
        </w:rPr>
        <w:t xml:space="preserve"> </w:t>
      </w:r>
      <w:r>
        <w:rPr>
          <w:rFonts w:ascii="David" w:hAnsi="David" w:cs="David"/>
          <w:color w:val="000000"/>
          <w:sz w:val="18"/>
          <w:szCs w:val="18"/>
          <w:rtl/>
        </w:rPr>
        <w:t>. עי' ראשונים ואחרונים שבציון 1025 ואילך, שנתנו טעמים אחרים לכך שגזרו לר"א שלא יעביר מי חטאת בנהר, ועי' עולת שלמה שם, ועי' דב"א שבציון 978; מסקנת טו"א שם, ועי' ציון 1032. ועי' ציון 928.</w:t>
      </w:r>
    </w:p>
  </w:footnote>
  <w:footnote w:id="960">
    <w:p w14:paraId="7F6B585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960</w:t>
      </w:r>
      <w:r>
        <w:rPr>
          <w:rFonts w:ascii="David" w:hAnsi="David" w:cs="David"/>
          <w:sz w:val="24"/>
          <w:szCs w:val="24"/>
          <w:rtl/>
        </w:rPr>
        <w:t xml:space="preserve"> </w:t>
      </w:r>
      <w:r>
        <w:rPr>
          <w:rFonts w:ascii="David" w:hAnsi="David" w:cs="David"/>
          <w:color w:val="000000"/>
          <w:sz w:val="18"/>
          <w:szCs w:val="18"/>
          <w:rtl/>
        </w:rPr>
        <w:t>. ראשונים ואחרונים דלהלן, ועי' להלן, שפי' כן במשנה וברייתא; עי' משנ"א פרה פ"ז מ"י, שדין המשנה שם שהמוסר לטמא מים שלא נתקדשו, פסולים, היינו משום חשש שמא יטמאם, וע"ע הסח הדעת ציון 265, ולעיל ציון 45, שי"מ בע"א. ועי' משנה שבציון 942 ואילך, וציון 798, שי"ס שהחשש דוקא קודם קידוש. ולכאו' לחכמים שבציון 912, פשוט כן, שהרי המים המקודשים יהיו טמאים, ועי' להלן.</w:t>
      </w:r>
    </w:p>
  </w:footnote>
  <w:footnote w:id="961">
    <w:p w14:paraId="54294F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961</w:t>
      </w:r>
      <w:r>
        <w:rPr>
          <w:rFonts w:ascii="David" w:hAnsi="David" w:cs="David"/>
          <w:sz w:val="24"/>
          <w:szCs w:val="24"/>
          <w:rtl/>
        </w:rPr>
        <w:t xml:space="preserve"> </w:t>
      </w:r>
      <w:r>
        <w:rPr>
          <w:rFonts w:ascii="David" w:hAnsi="David" w:cs="David"/>
          <w:color w:val="000000"/>
          <w:sz w:val="18"/>
          <w:szCs w:val="18"/>
          <w:rtl/>
        </w:rPr>
        <w:t>. ע"ע פרה אדומה, ושם על כמה הלכות הנלמדות מכך. רש"י חולין ט ב ד"ה טמאה, ועי' לעיל ציון 915 ואילך, ושם על טעם פסולם אחר שנתקדשו.</w:t>
      </w:r>
    </w:p>
  </w:footnote>
  <w:footnote w:id="962">
    <w:p w14:paraId="4FEA6D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962</w:t>
      </w:r>
      <w:r>
        <w:rPr>
          <w:rFonts w:ascii="David" w:hAnsi="David" w:cs="David"/>
          <w:sz w:val="24"/>
          <w:szCs w:val="24"/>
          <w:rtl/>
        </w:rPr>
        <w:t xml:space="preserve"> </w:t>
      </w:r>
      <w:r>
        <w:rPr>
          <w:rFonts w:ascii="David" w:hAnsi="David" w:cs="David"/>
          <w:color w:val="000000"/>
          <w:sz w:val="18"/>
          <w:szCs w:val="18"/>
          <w:rtl/>
        </w:rPr>
        <w:t>. ע"ע אפר חטאת ציון 118. חזו"א פרה סי' ה ס"ק יא, בטעם שהם פסולים אף לר"א, עי' להלן. וע"ש שאפשר עוד שסברא היא, ואפשר שכוונתו לסברא שבציון הקודם, ושקודם שנתקדשו אף ר"א מודה. ועי' חזו"א שם סי' י ס"ק יב, שאף אם השקה קודם קידוש מועילה, עי' ציון 98, לא יוכשרו בזה לקידוש, שכיון שנטמאו בטל מלויים, שצריך מילוי לשם מי חטאת, וצ"ב אם שייך כן לטעם שפסולם הוא משום שיטמאו את האפר, ועי' סי' טו ס"ק יא, שהוכיח שאין המילוי בטל, אבל לכאו' כשהשיקם נפסלו מחמת תערובת, ועי' ציון 1344.</w:t>
      </w:r>
    </w:p>
  </w:footnote>
  <w:footnote w:id="963">
    <w:p w14:paraId="6F6BAD5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963</w:t>
      </w:r>
      <w:r>
        <w:rPr>
          <w:rFonts w:ascii="David" w:hAnsi="David" w:cs="David"/>
          <w:sz w:val="24"/>
          <w:szCs w:val="24"/>
          <w:rtl/>
        </w:rPr>
        <w:t xml:space="preserve"> </w:t>
      </w:r>
      <w:r>
        <w:rPr>
          <w:rFonts w:ascii="David" w:hAnsi="David" w:cs="David"/>
          <w:color w:val="000000"/>
          <w:sz w:val="18"/>
          <w:szCs w:val="18"/>
          <w:rtl/>
        </w:rPr>
        <w:t>. עי' ציון 925 ואילך. רש"י שם ד"ה צלוחית, בביאור ברייתא שם: צלוחית שהניחה מגולה ובא ומצאה מכוסה טמאה, שמדובר במים שאינם מקודשים, שהרי מקודשים בלא"ה מטמאים, עי' לעיל: לטמא אחרים, וכ"ש שהם פסולים, וכ"כ תפא"י פי"א שם בד' משנה שבציון 925, אף על פי שנקטה ל' פסולה, ועי' רש"י שם ד"ה טמאה וד"ה אם (הא'); עי' תוס' שם ד"ה אם ותוס' הרא"ש שם; עי' ציון 868, שי"ס ששתיית חולדה אינה פוסלת אלא במים שאינם מקודשים, ולדבריהם המשנה מדברת במים אלו.</w:t>
      </w:r>
    </w:p>
  </w:footnote>
  <w:footnote w:id="964">
    <w:p w14:paraId="10E5D9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964</w:t>
      </w:r>
      <w:r>
        <w:rPr>
          <w:rFonts w:ascii="David" w:hAnsi="David" w:cs="David"/>
          <w:sz w:val="24"/>
          <w:szCs w:val="24"/>
          <w:rtl/>
        </w:rPr>
        <w:t xml:space="preserve"> </w:t>
      </w:r>
      <w:r>
        <w:rPr>
          <w:rFonts w:ascii="David" w:hAnsi="David" w:cs="David"/>
          <w:color w:val="000000"/>
          <w:sz w:val="18"/>
          <w:szCs w:val="18"/>
          <w:rtl/>
        </w:rPr>
        <w:t>. עי' ציון 901.</w:t>
      </w:r>
    </w:p>
  </w:footnote>
  <w:footnote w:id="965">
    <w:p w14:paraId="5CE200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965</w:t>
      </w:r>
      <w:r>
        <w:rPr>
          <w:rFonts w:ascii="David" w:hAnsi="David" w:cs="David"/>
          <w:sz w:val="24"/>
          <w:szCs w:val="24"/>
          <w:rtl/>
        </w:rPr>
        <w:t xml:space="preserve"> </w:t>
      </w:r>
      <w:r>
        <w:rPr>
          <w:rFonts w:ascii="David" w:hAnsi="David" w:cs="David"/>
          <w:color w:val="000000"/>
          <w:sz w:val="18"/>
          <w:szCs w:val="18"/>
          <w:rtl/>
        </w:rPr>
        <w:t>. ר"ש פרה פי"א מ"א, בפי' הב' (ועי' להלן), בביאור משנה שם: מים שאינן מקודשין נצולין בצמיד פתיל, שאפי' לד' ר"א נ"מ לענין פסול מחמת טומאה; עי' תוס' זבחים צג א ד"ה מי, שלכן אף לד' ר"א גזרו על מים העוברים בספינה משום חשש טומאה, עי' ציון 1000 ואילך, ואחרונים שבציון 1026 בדעתם, ועי' ציון 1028, שי"מ בע"א; יד דוד חגיגה כג א, שברור כן; חזו"א סי' ה שם. ועי' ציון 910.</w:t>
      </w:r>
    </w:p>
  </w:footnote>
  <w:footnote w:id="966">
    <w:p w14:paraId="6538B1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966</w:t>
      </w:r>
      <w:r>
        <w:rPr>
          <w:rFonts w:ascii="David" w:hAnsi="David" w:cs="David"/>
          <w:sz w:val="24"/>
          <w:szCs w:val="24"/>
          <w:rtl/>
        </w:rPr>
        <w:t xml:space="preserve"> </w:t>
      </w:r>
      <w:r>
        <w:rPr>
          <w:rFonts w:ascii="David" w:hAnsi="David" w:cs="David"/>
          <w:color w:val="000000"/>
          <w:sz w:val="18"/>
          <w:szCs w:val="18"/>
          <w:rtl/>
        </w:rPr>
        <w:t>. עי' ציון 903 ואילך.</w:t>
      </w:r>
    </w:p>
  </w:footnote>
  <w:footnote w:id="967">
    <w:p w14:paraId="4AFA33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967</w:t>
      </w:r>
      <w:r>
        <w:rPr>
          <w:rFonts w:ascii="David" w:hAnsi="David" w:cs="David"/>
          <w:sz w:val="24"/>
          <w:szCs w:val="24"/>
          <w:rtl/>
        </w:rPr>
        <w:t xml:space="preserve"> </w:t>
      </w:r>
      <w:r>
        <w:rPr>
          <w:rFonts w:ascii="David" w:hAnsi="David" w:cs="David"/>
          <w:color w:val="000000"/>
          <w:sz w:val="18"/>
          <w:szCs w:val="18"/>
          <w:rtl/>
        </w:rPr>
        <w:t>. ר"ש שם.</w:t>
      </w:r>
    </w:p>
  </w:footnote>
  <w:footnote w:id="968">
    <w:p w14:paraId="7B8B1E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968</w:t>
      </w:r>
      <w:r>
        <w:rPr>
          <w:rFonts w:ascii="David" w:hAnsi="David" w:cs="David"/>
          <w:sz w:val="24"/>
          <w:szCs w:val="24"/>
          <w:rtl/>
        </w:rPr>
        <w:t xml:space="preserve"> </w:t>
      </w:r>
      <w:r>
        <w:rPr>
          <w:rFonts w:ascii="David" w:hAnsi="David" w:cs="David"/>
          <w:color w:val="000000"/>
          <w:sz w:val="18"/>
          <w:szCs w:val="18"/>
          <w:rtl/>
        </w:rPr>
        <w:t>. עי' טו"א חגיגה שם, ותמה שאין סברא לחלק בזה, ועי' ציון 962, ועי' ציון 1032. וכ"נ בר"ש שם בפי' הא', לגי' חזו"א שם סי' יד ס"ק ב.</w:t>
      </w:r>
    </w:p>
  </w:footnote>
  <w:footnote w:id="969">
    <w:p w14:paraId="23226D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969</w:t>
      </w:r>
      <w:r>
        <w:rPr>
          <w:rFonts w:ascii="David" w:hAnsi="David" w:cs="David"/>
          <w:sz w:val="24"/>
          <w:szCs w:val="24"/>
          <w:rtl/>
        </w:rPr>
        <w:t xml:space="preserve"> </w:t>
      </w:r>
      <w:r>
        <w:rPr>
          <w:rFonts w:ascii="David" w:hAnsi="David" w:cs="David"/>
          <w:color w:val="000000"/>
          <w:sz w:val="18"/>
          <w:szCs w:val="18"/>
          <w:rtl/>
        </w:rPr>
        <w:t>. עי' משנה וראשונים שבציון 976 ופרה פ"י מ"ג ואילך, וע"ע אפר חטאת ציון 95 - 80, וע"ש ציון 97, ועי' מסקנת חזו"א פרה סי' ה ס"ק יא, וע"ש ס"ק כד, וע"ש סי' ו ס"ק י, ועי' דב"א ח"ב סי' ז אות ג ואילך, שהאריך, ועי' או"ש פרה פ"י ה"ב וקה"י טהרות סי' לז אות ב.</w:t>
      </w:r>
    </w:p>
  </w:footnote>
  <w:footnote w:id="970">
    <w:p w14:paraId="7AC58E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970</w:t>
      </w:r>
      <w:r>
        <w:rPr>
          <w:rFonts w:ascii="David" w:hAnsi="David" w:cs="David"/>
          <w:sz w:val="24"/>
          <w:szCs w:val="24"/>
          <w:rtl/>
        </w:rPr>
        <w:t xml:space="preserve"> </w:t>
      </w:r>
      <w:r>
        <w:rPr>
          <w:rFonts w:ascii="David" w:hAnsi="David" w:cs="David"/>
          <w:color w:val="000000"/>
          <w:sz w:val="18"/>
          <w:szCs w:val="18"/>
          <w:rtl/>
        </w:rPr>
        <w:t>. ע"ע הנ"ל ציון 81. עי' פרה שם מ"ד בלגין ורש"י זבחים צג א ד"ה ונטל ופהמ"ש לרמב"ם ורע"ב פרה שם, דהיינו לגין שיש בו מי חטאת, ושם מ"ה, שדוקא מים שאין מקודשים אינם נפסלים (עי' ציון 981), ופהמ"ש ורע"ב שם, ועי' ציון 986 ואילך; עי' פרה פי"א מ"א, שדוקא מים שאינן מקודשים נצולים וכו', ופהמ"ש ור"ש ורע"ב שם, ועי' ציון 976; עי' רמב"ם פרה פי"ד ה"ג.</w:t>
      </w:r>
    </w:p>
  </w:footnote>
  <w:footnote w:id="971">
    <w:p w14:paraId="08083A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971</w:t>
      </w:r>
      <w:r>
        <w:rPr>
          <w:rFonts w:ascii="David" w:hAnsi="David" w:cs="David"/>
          <w:sz w:val="24"/>
          <w:szCs w:val="24"/>
          <w:rtl/>
        </w:rPr>
        <w:t xml:space="preserve"> </w:t>
      </w:r>
      <w:r>
        <w:rPr>
          <w:rFonts w:ascii="David" w:hAnsi="David" w:cs="David"/>
          <w:color w:val="000000"/>
          <w:sz w:val="18"/>
          <w:szCs w:val="18"/>
          <w:rtl/>
        </w:rPr>
        <w:t>. במדבר יט ט.</w:t>
      </w:r>
    </w:p>
  </w:footnote>
  <w:footnote w:id="972">
    <w:p w14:paraId="3EBE6F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972</w:t>
      </w:r>
      <w:r>
        <w:rPr>
          <w:rFonts w:ascii="David" w:hAnsi="David" w:cs="David"/>
          <w:sz w:val="24"/>
          <w:szCs w:val="24"/>
          <w:rtl/>
        </w:rPr>
        <w:t xml:space="preserve"> </w:t>
      </w:r>
      <w:r>
        <w:rPr>
          <w:rFonts w:ascii="David" w:hAnsi="David" w:cs="David"/>
          <w:color w:val="000000"/>
          <w:sz w:val="18"/>
          <w:szCs w:val="18"/>
          <w:rtl/>
        </w:rPr>
        <w:t>. ר"ש ורע"ב שם, ע"פ ספרי חקת פיס' קכד, ופהמ"ש ור"ש שם פ"י מ"ג. ועי' רש"י שם, שהוא מעלה במי חטאת, ועי' חזו"א שם סי' ה ס"ק יא, וע"ש סי' ו שם, שהוכיח שהוא מה"ת, ועי' ציון 997.</w:t>
      </w:r>
    </w:p>
  </w:footnote>
  <w:footnote w:id="973">
    <w:p w14:paraId="2AD518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973</w:t>
      </w:r>
      <w:r>
        <w:rPr>
          <w:rFonts w:ascii="David" w:hAnsi="David" w:cs="David"/>
          <w:sz w:val="24"/>
          <w:szCs w:val="24"/>
          <w:rtl/>
        </w:rPr>
        <w:t xml:space="preserve"> </w:t>
      </w:r>
      <w:r>
        <w:rPr>
          <w:rFonts w:ascii="David" w:hAnsi="David" w:cs="David"/>
          <w:color w:val="000000"/>
          <w:sz w:val="18"/>
          <w:szCs w:val="18"/>
          <w:rtl/>
        </w:rPr>
        <w:t>. עי' ראשונים ואחרונים דלהלן.</w:t>
      </w:r>
    </w:p>
  </w:footnote>
  <w:footnote w:id="974">
    <w:p w14:paraId="4C178D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974</w:t>
      </w:r>
      <w:r>
        <w:rPr>
          <w:rFonts w:ascii="David" w:hAnsi="David" w:cs="David"/>
          <w:sz w:val="24"/>
          <w:szCs w:val="24"/>
          <w:rtl/>
        </w:rPr>
        <w:t xml:space="preserve"> </w:t>
      </w:r>
      <w:r>
        <w:rPr>
          <w:rFonts w:ascii="David" w:hAnsi="David" w:cs="David"/>
          <w:color w:val="000000"/>
          <w:sz w:val="18"/>
          <w:szCs w:val="18"/>
          <w:rtl/>
        </w:rPr>
        <w:t>. עי' פהמ"ש שם מ"ה, וכ"מ ברמב"ם שם, לגי' הדפוסים: הרי האפר והמים טמאים שאין אפר החטאת ניצלת וכו', ועי' ילקוט שינו"ס (פרנקל) שם, שבכל כתה"י: שאין החטאת; עי' טו"א חגיגה כה א סוד"ה והתניא; עי' תפא"י פרה שם אות לח. ועי' חזו"א שם ושם, שמ' שהטעם מחמת המים, ולא מחמת האפר שבהם.</w:t>
      </w:r>
    </w:p>
  </w:footnote>
  <w:footnote w:id="975">
    <w:p w14:paraId="3EA126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975</w:t>
      </w:r>
      <w:r>
        <w:rPr>
          <w:rFonts w:ascii="David" w:hAnsi="David" w:cs="David"/>
          <w:sz w:val="24"/>
          <w:szCs w:val="24"/>
          <w:rtl/>
        </w:rPr>
        <w:t xml:space="preserve"> </w:t>
      </w:r>
      <w:r>
        <w:rPr>
          <w:rFonts w:ascii="David" w:hAnsi="David" w:cs="David"/>
          <w:color w:val="000000"/>
          <w:sz w:val="18"/>
          <w:szCs w:val="18"/>
          <w:rtl/>
        </w:rPr>
        <w:t>. ע"ע צמיד פתיל.</w:t>
      </w:r>
    </w:p>
  </w:footnote>
  <w:footnote w:id="976">
    <w:p w14:paraId="474F654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976</w:t>
      </w:r>
      <w:r>
        <w:rPr>
          <w:rFonts w:ascii="David" w:hAnsi="David" w:cs="David"/>
          <w:sz w:val="24"/>
          <w:szCs w:val="24"/>
          <w:rtl/>
        </w:rPr>
        <w:t xml:space="preserve"> </w:t>
      </w:r>
      <w:r>
        <w:rPr>
          <w:rFonts w:ascii="David" w:hAnsi="David" w:cs="David"/>
          <w:color w:val="000000"/>
          <w:sz w:val="18"/>
          <w:szCs w:val="18"/>
          <w:rtl/>
        </w:rPr>
        <w:t>. עי' פרה פי"א שם, ופהמ"ש ור"ש ורע"ב שם, ע"פ ספרי שם; עי' ברייתא חגיגה כה א; עי' רמב"ם שם. ועי' רש"ש שם. ועי' הגה"ה בר"ש שם פי"ב מ"ז, שנ' שהוא חומרא שהחמירו במי חטאת. וע"ע אפר חטאת ציון 95. ועי' חזו"א שם סי' ה ס"ק כה. וע"ע צמיד פתיל, שאף קודש אין ניצל בצמיד פתיל, ועי' רש"ש פרה שם.</w:t>
      </w:r>
    </w:p>
  </w:footnote>
  <w:footnote w:id="977">
    <w:p w14:paraId="4BEE22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977</w:t>
      </w:r>
      <w:r>
        <w:rPr>
          <w:rFonts w:ascii="David" w:hAnsi="David" w:cs="David"/>
          <w:sz w:val="24"/>
          <w:szCs w:val="24"/>
          <w:rtl/>
        </w:rPr>
        <w:t xml:space="preserve"> </w:t>
      </w:r>
      <w:r>
        <w:rPr>
          <w:rFonts w:ascii="David" w:hAnsi="David" w:cs="David"/>
          <w:color w:val="000000"/>
          <w:sz w:val="18"/>
          <w:szCs w:val="18"/>
          <w:rtl/>
        </w:rPr>
        <w:t>. עי' לעיל ציון 901.</w:t>
      </w:r>
    </w:p>
  </w:footnote>
  <w:footnote w:id="978">
    <w:p w14:paraId="09AF49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978</w:t>
      </w:r>
      <w:r>
        <w:rPr>
          <w:rFonts w:ascii="David" w:hAnsi="David" w:cs="David"/>
          <w:sz w:val="24"/>
          <w:szCs w:val="24"/>
          <w:rtl/>
        </w:rPr>
        <w:t xml:space="preserve"> </w:t>
      </w:r>
      <w:r>
        <w:rPr>
          <w:rFonts w:ascii="David" w:hAnsi="David" w:cs="David"/>
          <w:color w:val="000000"/>
          <w:sz w:val="18"/>
          <w:szCs w:val="18"/>
          <w:rtl/>
        </w:rPr>
        <w:t>. תוס' שאנץ עדיות פ"ז מ"ה, בביאור ד' חכמים במשנה שם לענין קלל של חטאת אפי' לד' ר"א; דב"א ח"ב סי' ז אות יב ויג, בביאור ד' תוס' חגיגה כג א ד"ה מת, בישוב קו' טו"א שבציונים 953, 958, ועי' ציון 1024, שי"מ בע"א; או"ש פ"י שם. ועי' ציונים 906, 1031. ומ' שכשנטמאו במגע אין חשובים במקום טמא, ובזה הכשיר ר"א. ועי' דב"א שם, בטעם שא"א לר"א ללמוד מנדה אף לענין מקום טמא, ועי' או"ש שם ומרומי שדה זבחים שם.</w:t>
      </w:r>
    </w:p>
  </w:footnote>
  <w:footnote w:id="979">
    <w:p w14:paraId="24A626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979</w:t>
      </w:r>
      <w:r>
        <w:rPr>
          <w:rFonts w:ascii="David" w:hAnsi="David" w:cs="David"/>
          <w:sz w:val="24"/>
          <w:szCs w:val="24"/>
          <w:rtl/>
        </w:rPr>
        <w:t xml:space="preserve"> </w:t>
      </w:r>
      <w:r>
        <w:rPr>
          <w:rFonts w:ascii="David" w:hAnsi="David" w:cs="David"/>
          <w:color w:val="000000"/>
          <w:sz w:val="18"/>
          <w:szCs w:val="18"/>
          <w:rtl/>
        </w:rPr>
        <w:t>. דב"א שם אות יא, בד' תוס' שאנץ שם, וע"ש אות יב; או"ש שם. ועי' דב"א שם אות יא, שמטעם זה אפר חטאת נפסל במקום טמא, ע"ע הנ"ל ציון 80 ואילך, אפי' לסוברים שאינו מקבל טומאה מה"ת, ע"ע הנ"ל ציון 106, ועי' או"ש שם, שמטעם זה המים נטמאים אפי' בכלי שאינו מק"ט, ע"ע הנ"ל ציון 80 ואילך. ועי' חזו"א שם ס"ק יא, ושו"ת בית שערים או"ח סי' שכט.</w:t>
      </w:r>
    </w:p>
  </w:footnote>
  <w:footnote w:id="980">
    <w:p w14:paraId="151378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980</w:t>
      </w:r>
      <w:r>
        <w:rPr>
          <w:rFonts w:ascii="David" w:hAnsi="David" w:cs="David"/>
          <w:sz w:val="24"/>
          <w:szCs w:val="24"/>
          <w:rtl/>
        </w:rPr>
        <w:t xml:space="preserve"> </w:t>
      </w:r>
      <w:r>
        <w:rPr>
          <w:rFonts w:ascii="David" w:hAnsi="David" w:cs="David"/>
          <w:color w:val="000000"/>
          <w:sz w:val="18"/>
          <w:szCs w:val="18"/>
          <w:rtl/>
        </w:rPr>
        <w:t>. עי' ר"ש פרה פי"א שם, שמי חטאת בצמיד פתיל לא נפסלו לר"א, ודב"א שם אות יג בדעתו, וכ' שבתוס' שאנץ מעורבין ד' תלמידי הר"ש. וכ"כ חזו"א שם, וכ' שמודה שנטמאים, אלא שלא נפסלים, ודן מה נ"מ בכך שנטמאים, וע"ש סי' יד ס"ק ב, וצ"ב.</w:t>
      </w:r>
    </w:p>
  </w:footnote>
  <w:footnote w:id="981">
    <w:p w14:paraId="270CF1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981</w:t>
      </w:r>
      <w:r>
        <w:rPr>
          <w:rFonts w:ascii="David" w:hAnsi="David" w:cs="David"/>
          <w:sz w:val="24"/>
          <w:szCs w:val="24"/>
          <w:rtl/>
        </w:rPr>
        <w:t xml:space="preserve"> </w:t>
      </w:r>
      <w:r>
        <w:rPr>
          <w:rFonts w:ascii="David" w:hAnsi="David" w:cs="David"/>
          <w:color w:val="000000"/>
          <w:sz w:val="18"/>
          <w:szCs w:val="18"/>
          <w:rtl/>
        </w:rPr>
        <w:t>. פרה פ"י מ"ה, וע"ש פי"א מ"א; עי' תוספ' שם פ"ז; עי' חגיגה שם, בביאור ברייתא שם; עי' רמב"ם שם ה"ד וה.</w:t>
      </w:r>
    </w:p>
  </w:footnote>
  <w:footnote w:id="982">
    <w:p w14:paraId="3687CD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982</w:t>
      </w:r>
      <w:r>
        <w:rPr>
          <w:rFonts w:ascii="David" w:hAnsi="David" w:cs="David"/>
          <w:sz w:val="24"/>
          <w:szCs w:val="24"/>
          <w:rtl/>
        </w:rPr>
        <w:t xml:space="preserve"> </w:t>
      </w:r>
      <w:r>
        <w:rPr>
          <w:rFonts w:ascii="David" w:hAnsi="David" w:cs="David"/>
          <w:color w:val="000000"/>
          <w:sz w:val="18"/>
          <w:szCs w:val="18"/>
          <w:rtl/>
        </w:rPr>
        <w:t>. פהמ"ש לרמב"ם פ"י שם; עי' רע"ב שם; תפא"י שם.</w:t>
      </w:r>
    </w:p>
  </w:footnote>
  <w:footnote w:id="983">
    <w:p w14:paraId="12E16C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983</w:t>
      </w:r>
      <w:r>
        <w:rPr>
          <w:rFonts w:ascii="David" w:hAnsi="David" w:cs="David"/>
          <w:sz w:val="24"/>
          <w:szCs w:val="24"/>
          <w:rtl/>
        </w:rPr>
        <w:t xml:space="preserve"> </w:t>
      </w:r>
      <w:r>
        <w:rPr>
          <w:rFonts w:ascii="David" w:hAnsi="David" w:cs="David"/>
          <w:color w:val="000000"/>
          <w:sz w:val="18"/>
          <w:szCs w:val="18"/>
          <w:rtl/>
        </w:rPr>
        <w:t>. ציון 80 ואילך. ועי' להלן ציון 1004.</w:t>
      </w:r>
    </w:p>
  </w:footnote>
  <w:footnote w:id="984">
    <w:p w14:paraId="6D18AF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984</w:t>
      </w:r>
      <w:r>
        <w:rPr>
          <w:rFonts w:ascii="David" w:hAnsi="David" w:cs="David"/>
          <w:sz w:val="24"/>
          <w:szCs w:val="24"/>
          <w:rtl/>
        </w:rPr>
        <w:t xml:space="preserve"> </w:t>
      </w:r>
      <w:r>
        <w:rPr>
          <w:rFonts w:ascii="David" w:hAnsi="David" w:cs="David"/>
          <w:color w:val="000000"/>
          <w:sz w:val="18"/>
          <w:szCs w:val="18"/>
          <w:rtl/>
        </w:rPr>
        <w:t>. ציון 82 ואילך. ועי' תוס' פסחים סט א ד"ה שמא ועבודת לוי מאכ"א פ"ז ה"ג סי' כט.</w:t>
      </w:r>
    </w:p>
  </w:footnote>
  <w:footnote w:id="985">
    <w:p w14:paraId="670DA0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985</w:t>
      </w:r>
      <w:r>
        <w:rPr>
          <w:rFonts w:ascii="David" w:hAnsi="David" w:cs="David"/>
          <w:sz w:val="24"/>
          <w:szCs w:val="24"/>
          <w:rtl/>
        </w:rPr>
        <w:t xml:space="preserve"> </w:t>
      </w:r>
      <w:r>
        <w:rPr>
          <w:rFonts w:ascii="David" w:hAnsi="David" w:cs="David"/>
          <w:color w:val="000000"/>
          <w:sz w:val="18"/>
          <w:szCs w:val="18"/>
          <w:rtl/>
        </w:rPr>
        <w:t>. עי' ציון 1042, וע"ע מעלות. רמב"ם דלהלן.</w:t>
      </w:r>
    </w:p>
  </w:footnote>
  <w:footnote w:id="986">
    <w:p w14:paraId="10C929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986</w:t>
      </w:r>
      <w:r>
        <w:rPr>
          <w:rFonts w:ascii="David" w:hAnsi="David" w:cs="David"/>
          <w:sz w:val="24"/>
          <w:szCs w:val="24"/>
          <w:rtl/>
        </w:rPr>
        <w:t xml:space="preserve"> </w:t>
      </w:r>
      <w:r>
        <w:rPr>
          <w:rFonts w:ascii="David" w:hAnsi="David" w:cs="David"/>
          <w:color w:val="000000"/>
          <w:sz w:val="18"/>
          <w:szCs w:val="18"/>
          <w:rtl/>
        </w:rPr>
        <w:t>. עי' פרה פ"י מ"ד. ועי' פהמ"ש לרמב"ם ורע"ב שם, שמ' שדין קנה שתלוים בו כלים עוסק באפר ולא במים, ור"ש שם, שאף הדין הראשון עוסק באפר, אבל לכאו' לד"ה ה"ה במים. ועי' תפא"י בועז שם אות ט, בטעם שאין האדם העומד על התנור נטמא לחטאת במגע ומטמא את המים. ועי' חזו"א פרה סי' ה ס"ק כד, אם כ"ה אף לד' ר"א שבע' אפר חטאת ציון 82.</w:t>
      </w:r>
    </w:p>
  </w:footnote>
  <w:footnote w:id="987">
    <w:p w14:paraId="1045A4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987</w:t>
      </w:r>
      <w:r>
        <w:rPr>
          <w:rFonts w:ascii="David" w:hAnsi="David" w:cs="David"/>
          <w:sz w:val="24"/>
          <w:szCs w:val="24"/>
          <w:rtl/>
        </w:rPr>
        <w:t xml:space="preserve"> </w:t>
      </w:r>
      <w:r>
        <w:rPr>
          <w:rFonts w:ascii="David" w:hAnsi="David" w:cs="David"/>
          <w:color w:val="000000"/>
          <w:sz w:val="18"/>
          <w:szCs w:val="18"/>
          <w:rtl/>
        </w:rPr>
        <w:t>. רמב"ם פרה פי"ד ה"ה.</w:t>
      </w:r>
    </w:p>
  </w:footnote>
  <w:footnote w:id="988">
    <w:p w14:paraId="5AB1FA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988</w:t>
      </w:r>
      <w:r>
        <w:rPr>
          <w:rFonts w:ascii="David" w:hAnsi="David" w:cs="David"/>
          <w:sz w:val="24"/>
          <w:szCs w:val="24"/>
          <w:rtl/>
        </w:rPr>
        <w:t xml:space="preserve"> </w:t>
      </w:r>
      <w:r>
        <w:rPr>
          <w:rFonts w:ascii="David" w:hAnsi="David" w:cs="David"/>
          <w:color w:val="000000"/>
          <w:sz w:val="18"/>
          <w:szCs w:val="18"/>
          <w:rtl/>
        </w:rPr>
        <w:t>. רמב"ם שם.</w:t>
      </w:r>
    </w:p>
  </w:footnote>
  <w:footnote w:id="989">
    <w:p w14:paraId="78DA70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989</w:t>
      </w:r>
      <w:r>
        <w:rPr>
          <w:rFonts w:ascii="David" w:hAnsi="David" w:cs="David"/>
          <w:sz w:val="24"/>
          <w:szCs w:val="24"/>
          <w:rtl/>
        </w:rPr>
        <w:t xml:space="preserve"> </w:t>
      </w:r>
      <w:r>
        <w:rPr>
          <w:rFonts w:ascii="David" w:hAnsi="David" w:cs="David"/>
          <w:color w:val="000000"/>
          <w:sz w:val="18"/>
          <w:szCs w:val="18"/>
          <w:rtl/>
        </w:rPr>
        <w:t>. פרה שם.</w:t>
      </w:r>
    </w:p>
  </w:footnote>
  <w:footnote w:id="990">
    <w:p w14:paraId="6F17ACC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990</w:t>
      </w:r>
      <w:r>
        <w:rPr>
          <w:rFonts w:ascii="David" w:hAnsi="David" w:cs="David"/>
          <w:sz w:val="24"/>
          <w:szCs w:val="24"/>
          <w:rtl/>
        </w:rPr>
        <w:t xml:space="preserve"> </w:t>
      </w:r>
      <w:r>
        <w:rPr>
          <w:rFonts w:ascii="David" w:hAnsi="David" w:cs="David"/>
          <w:color w:val="000000"/>
          <w:sz w:val="18"/>
          <w:szCs w:val="18"/>
          <w:rtl/>
        </w:rPr>
        <w:t>. פהמ"ש לרמב"ם שם; תפא"י שם אות לב.</w:t>
      </w:r>
    </w:p>
  </w:footnote>
  <w:footnote w:id="991">
    <w:p w14:paraId="7A4C74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991</w:t>
      </w:r>
      <w:r>
        <w:rPr>
          <w:rFonts w:ascii="David" w:hAnsi="David" w:cs="David"/>
          <w:sz w:val="24"/>
          <w:szCs w:val="24"/>
          <w:rtl/>
        </w:rPr>
        <w:t xml:space="preserve"> </w:t>
      </w:r>
      <w:r>
        <w:rPr>
          <w:rFonts w:ascii="David" w:hAnsi="David" w:cs="David"/>
          <w:color w:val="000000"/>
          <w:sz w:val="18"/>
          <w:szCs w:val="18"/>
          <w:rtl/>
        </w:rPr>
        <w:t>. ע"ע, וע' זורק ציון 29, שכ"ד ר"ע לענין זורק בין רשויות בשבת, ועי' להלן.</w:t>
      </w:r>
    </w:p>
  </w:footnote>
  <w:footnote w:id="992">
    <w:p w14:paraId="622BEDA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992</w:t>
      </w:r>
      <w:r>
        <w:rPr>
          <w:rFonts w:ascii="David" w:hAnsi="David" w:cs="David"/>
          <w:sz w:val="24"/>
          <w:szCs w:val="24"/>
          <w:rtl/>
        </w:rPr>
        <w:t xml:space="preserve"> </w:t>
      </w:r>
      <w:r>
        <w:rPr>
          <w:rFonts w:ascii="David" w:hAnsi="David" w:cs="David"/>
          <w:color w:val="000000"/>
          <w:sz w:val="18"/>
          <w:szCs w:val="18"/>
          <w:rtl/>
        </w:rPr>
        <w:t>. תפא"י שם, וכעי"ז בבהגר"א שם. וכ"נ בראב"ד פרה שם. ועי' או"ש פרה שם שפי' באופ"א, וכ"נ בראשונים שבציון 997, שדוקא במשנה שם הזכירו קלוטה כמי שהונחה, וכ"מ קצת בד' אביי שבציון 995, שלא שייך בזה קלוטה כמי שהונחה, ועי' ציון הנ"ל בטעם הדבר, ועי' חזו"א שם ס"ק כז, וכן אפשר שלא שייך קלוטה כמי שהונחה כשהוא מונח ע"ג דבר אחר. ועי' להלן.</w:t>
      </w:r>
    </w:p>
  </w:footnote>
  <w:footnote w:id="993">
    <w:p w14:paraId="4A49998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993</w:t>
      </w:r>
      <w:r>
        <w:rPr>
          <w:rFonts w:ascii="David" w:hAnsi="David" w:cs="David"/>
          <w:sz w:val="24"/>
          <w:szCs w:val="24"/>
          <w:rtl/>
        </w:rPr>
        <w:t xml:space="preserve"> </w:t>
      </w:r>
      <w:r>
        <w:rPr>
          <w:rFonts w:ascii="David" w:hAnsi="David" w:cs="David"/>
          <w:color w:val="000000"/>
          <w:sz w:val="18"/>
          <w:szCs w:val="18"/>
          <w:rtl/>
        </w:rPr>
        <w:t>. עי' פרה שם מ"ה, ורע"ב שם. ועי' חזו"א שם ס"ק כד, אם לד' חכמים אינו טמא אלא כשנשען על הטומאה, ואם תנטל הטומאה יזוז ממקומו.</w:t>
      </w:r>
    </w:p>
  </w:footnote>
  <w:footnote w:id="994">
    <w:p w14:paraId="0494AD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994</w:t>
      </w:r>
      <w:r>
        <w:rPr>
          <w:rFonts w:ascii="David" w:hAnsi="David" w:cs="David"/>
          <w:sz w:val="24"/>
          <w:szCs w:val="24"/>
          <w:rtl/>
        </w:rPr>
        <w:t xml:space="preserve"> </w:t>
      </w:r>
      <w:r>
        <w:rPr>
          <w:rFonts w:ascii="David" w:hAnsi="David" w:cs="David"/>
          <w:color w:val="000000"/>
          <w:sz w:val="18"/>
          <w:szCs w:val="18"/>
          <w:rtl/>
        </w:rPr>
        <w:t>. רמב"ם וראב"ד פרה שם.</w:t>
      </w:r>
    </w:p>
  </w:footnote>
  <w:footnote w:id="995">
    <w:p w14:paraId="56D6F4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995</w:t>
      </w:r>
      <w:r>
        <w:rPr>
          <w:rFonts w:ascii="David" w:hAnsi="David" w:cs="David"/>
          <w:sz w:val="24"/>
          <w:szCs w:val="24"/>
          <w:rtl/>
        </w:rPr>
        <w:t xml:space="preserve"> </w:t>
      </w:r>
      <w:r>
        <w:rPr>
          <w:rFonts w:ascii="David" w:hAnsi="David" w:cs="David"/>
          <w:color w:val="000000"/>
          <w:sz w:val="18"/>
          <w:szCs w:val="18"/>
          <w:rtl/>
        </w:rPr>
        <w:t>. עי' זבחים צג א, ור"ש פרה שם ותפא"י שם אות לה. ועי' מרומי שדה זבחים שם, שלא שייך קלוטה כמי שהונחה, כמו שאמרו בשבת, עי' לעיל, שאינו אלא כמונח במקומו, ולא למטה, ועי' להלן, וצ"ל שלסוברים שמטהר ר"ע משום שחשוב כמונח, עי' לעיל, היינו משום שחשוב כמונח באויר מחוץ לתנור, ועי' בהגר"א שם מ"ד, ועי' תפא"י שם בועז אות י, בע"א. ועי' להלן.</w:t>
      </w:r>
    </w:p>
  </w:footnote>
  <w:footnote w:id="996">
    <w:p w14:paraId="0F6ADC4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996</w:t>
      </w:r>
      <w:r>
        <w:rPr>
          <w:rFonts w:ascii="David" w:hAnsi="David" w:cs="David"/>
          <w:sz w:val="24"/>
          <w:szCs w:val="24"/>
          <w:rtl/>
        </w:rPr>
        <w:t xml:space="preserve"> </w:t>
      </w:r>
      <w:r>
        <w:rPr>
          <w:rFonts w:ascii="David" w:hAnsi="David" w:cs="David"/>
          <w:color w:val="000000"/>
          <w:sz w:val="18"/>
          <w:szCs w:val="18"/>
          <w:rtl/>
        </w:rPr>
        <w:t>. עי' זבחים שם, ע"פ תוספ' פרה פ"י, ועי' ציון הבא.</w:t>
      </w:r>
    </w:p>
  </w:footnote>
  <w:footnote w:id="997">
    <w:p w14:paraId="11904C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997</w:t>
      </w:r>
      <w:r>
        <w:rPr>
          <w:rFonts w:ascii="David" w:hAnsi="David" w:cs="David"/>
          <w:sz w:val="24"/>
          <w:szCs w:val="24"/>
          <w:rtl/>
        </w:rPr>
        <w:t xml:space="preserve"> </w:t>
      </w:r>
      <w:r>
        <w:rPr>
          <w:rFonts w:ascii="David" w:hAnsi="David" w:cs="David"/>
          <w:color w:val="000000"/>
          <w:sz w:val="18"/>
          <w:szCs w:val="18"/>
          <w:rtl/>
        </w:rPr>
        <w:t>. זבחים שם, ופהמ"ש לרמב"ם ורע"ב שם מ"ה ובהגר"א שם מ"ד ובהגר"א וז"ז פ"י, ועי' ראב"ד פרה שם. ועי' משנ"א שם מ"ה, שאי"ז מעיקה"ד, והביא שכ"כ רש"י זבחים צג א, ועי' ציון 972, ועי' תפא"י שם. ועי' מרומי שדה זבחים שם ותפא"י בועז שם שתמהו, שמסקנת הגמ' כאביי דלעיל, עי' ציון הקודם, ועי' חזו"נ פרה שם ומלכי בקדש פרה פ"ז סוה"ג, שד' הרמב"ם כרבה, ע"פ מחלוקת ר"ע וחכמים לענין קלוטה כמי שהונחה בשבת, עי' ציון 991, ועי' ציון הבא, ועי' ציון 995, ועי' תפא"י שם שביאר באופ"א, שאף לאביי המח' בקלוטה כמי שהונחה, אלא שלא נחלקו אלא בעומד ולא בזורק, וגזרו שמא ינוח.</w:t>
      </w:r>
    </w:p>
  </w:footnote>
  <w:footnote w:id="998">
    <w:p w14:paraId="67C0AA8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998</w:t>
      </w:r>
      <w:r>
        <w:rPr>
          <w:rFonts w:ascii="David" w:hAnsi="David" w:cs="David"/>
          <w:sz w:val="24"/>
          <w:szCs w:val="24"/>
          <w:rtl/>
        </w:rPr>
        <w:t xml:space="preserve"> </w:t>
      </w:r>
      <w:r>
        <w:rPr>
          <w:rFonts w:ascii="David" w:hAnsi="David" w:cs="David"/>
          <w:color w:val="000000"/>
          <w:sz w:val="18"/>
          <w:szCs w:val="18"/>
          <w:rtl/>
        </w:rPr>
        <w:t>. בהגר"א שם, בביאור תוספ' שם. ועי' חזו"נ ומלכי בקודש שם, שאין הלכה כתוספ' זו.</w:t>
      </w:r>
    </w:p>
  </w:footnote>
  <w:footnote w:id="999">
    <w:p w14:paraId="655A4F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999</w:t>
      </w:r>
      <w:r>
        <w:rPr>
          <w:rFonts w:ascii="David" w:hAnsi="David" w:cs="David"/>
          <w:sz w:val="24"/>
          <w:szCs w:val="24"/>
          <w:rtl/>
        </w:rPr>
        <w:t xml:space="preserve"> </w:t>
      </w:r>
      <w:r>
        <w:rPr>
          <w:rFonts w:ascii="David" w:hAnsi="David" w:cs="David"/>
          <w:color w:val="000000"/>
          <w:sz w:val="18"/>
          <w:szCs w:val="18"/>
          <w:rtl/>
        </w:rPr>
        <w:t>. תפא"י פרה פ"ט אות מא.</w:t>
      </w:r>
    </w:p>
  </w:footnote>
  <w:footnote w:id="1000">
    <w:p w14:paraId="54B696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1000</w:t>
      </w:r>
      <w:r>
        <w:rPr>
          <w:rFonts w:ascii="David" w:hAnsi="David" w:cs="David"/>
          <w:sz w:val="24"/>
          <w:szCs w:val="24"/>
          <w:rtl/>
        </w:rPr>
        <w:t xml:space="preserve"> </w:t>
      </w:r>
      <w:r>
        <w:rPr>
          <w:rFonts w:ascii="David" w:hAnsi="David" w:cs="David"/>
          <w:color w:val="000000"/>
          <w:sz w:val="18"/>
          <w:szCs w:val="18"/>
          <w:rtl/>
        </w:rPr>
        <w:t>. עי' פרה שם מ"ו; ברייתא חגיגה כג א ויבמות קטז ב; רמב"ם פרה פ"י ה"ב. ועי' תפא"י שם פ"ה בועז אות ה, שצידד שמותר להשתמש בספינה ככלי, ולמלאות בה מים ולהעבירם בה.</w:t>
      </w:r>
    </w:p>
  </w:footnote>
  <w:footnote w:id="1001">
    <w:p w14:paraId="7BC4BF5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1001</w:t>
      </w:r>
      <w:r>
        <w:rPr>
          <w:rFonts w:ascii="David" w:hAnsi="David" w:cs="David"/>
          <w:sz w:val="24"/>
          <w:szCs w:val="24"/>
          <w:rtl/>
        </w:rPr>
        <w:t xml:space="preserve"> </w:t>
      </w:r>
      <w:r>
        <w:rPr>
          <w:rFonts w:ascii="David" w:hAnsi="David" w:cs="David"/>
          <w:color w:val="000000"/>
          <w:sz w:val="18"/>
          <w:szCs w:val="18"/>
          <w:rtl/>
        </w:rPr>
        <w:t>. רמב"ם שם; סמ"ג עשין רלב; מאירי חגיגה ויבמות שם.</w:t>
      </w:r>
    </w:p>
  </w:footnote>
  <w:footnote w:id="1002">
    <w:p w14:paraId="45ED70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1002</w:t>
      </w:r>
      <w:r>
        <w:rPr>
          <w:rFonts w:ascii="David" w:hAnsi="David" w:cs="David"/>
          <w:sz w:val="24"/>
          <w:szCs w:val="24"/>
          <w:rtl/>
        </w:rPr>
        <w:t xml:space="preserve"> </w:t>
      </w:r>
      <w:r>
        <w:rPr>
          <w:rFonts w:ascii="David" w:hAnsi="David" w:cs="David"/>
          <w:color w:val="000000"/>
          <w:sz w:val="18"/>
          <w:szCs w:val="18"/>
          <w:rtl/>
        </w:rPr>
        <w:t>. רב יהודה אמר רב בחגיגה ויבמות שם; רמב"ם שם.</w:t>
      </w:r>
    </w:p>
  </w:footnote>
  <w:footnote w:id="1003">
    <w:p w14:paraId="4106AC6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1003</w:t>
      </w:r>
      <w:r>
        <w:rPr>
          <w:rFonts w:ascii="David" w:hAnsi="David" w:cs="David"/>
          <w:sz w:val="24"/>
          <w:szCs w:val="24"/>
          <w:rtl/>
        </w:rPr>
        <w:t xml:space="preserve"> </w:t>
      </w:r>
      <w:r>
        <w:rPr>
          <w:rFonts w:ascii="David" w:hAnsi="David" w:cs="David"/>
          <w:color w:val="000000"/>
          <w:sz w:val="18"/>
          <w:szCs w:val="18"/>
          <w:rtl/>
        </w:rPr>
        <w:t>. ע"ע אהל המת: הבאת הטומאה. רש"י חגיגה שם ד"ה כזית ויבמות שם ד"ה תחוב; מאירי יבמות שם. ולכאו' ה"ה שי"ל שהאהילה הספינה בשעה שנחה, ע"ע הנ"ל ציון 101, ועי' אור המאיר דלהלן. ועי' ראשונים שבציונים 952, 1024.</w:t>
      </w:r>
    </w:p>
  </w:footnote>
  <w:footnote w:id="1004">
    <w:p w14:paraId="3811A69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1004</w:t>
      </w:r>
      <w:r>
        <w:rPr>
          <w:rFonts w:ascii="David" w:hAnsi="David" w:cs="David"/>
          <w:sz w:val="24"/>
          <w:szCs w:val="24"/>
          <w:rtl/>
        </w:rPr>
        <w:t xml:space="preserve"> </w:t>
      </w:r>
      <w:r>
        <w:rPr>
          <w:rFonts w:ascii="David" w:hAnsi="David" w:cs="David"/>
          <w:color w:val="000000"/>
          <w:sz w:val="18"/>
          <w:szCs w:val="18"/>
          <w:rtl/>
        </w:rPr>
        <w:t>. פהמ"ש לרמב"ם פ"ט שם. והיינו שאף שלא כנגד הטומאה, חשוב מקום טמא, ועי' ערל"נ שם ושו"ת אור המאיר סי' נד אות ה, שהוא משום שהספינה נטמאה. ועי' רמב"ם פ"י שם, וערל"נ שם בדעתו.</w:t>
      </w:r>
    </w:p>
  </w:footnote>
  <w:footnote w:id="1005">
    <w:p w14:paraId="182FE1C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1005</w:t>
      </w:r>
      <w:r>
        <w:rPr>
          <w:rFonts w:ascii="David" w:hAnsi="David" w:cs="David"/>
          <w:sz w:val="24"/>
          <w:szCs w:val="24"/>
          <w:rtl/>
        </w:rPr>
        <w:t xml:space="preserve"> </w:t>
      </w:r>
      <w:r>
        <w:rPr>
          <w:rFonts w:ascii="David" w:hAnsi="David" w:cs="David"/>
          <w:color w:val="000000"/>
          <w:sz w:val="18"/>
          <w:szCs w:val="18"/>
          <w:rtl/>
        </w:rPr>
        <w:t>. ציון 970 ואילך.</w:t>
      </w:r>
    </w:p>
  </w:footnote>
  <w:footnote w:id="1006">
    <w:p w14:paraId="7FF4F4E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1006</w:t>
      </w:r>
      <w:r>
        <w:rPr>
          <w:rFonts w:ascii="David" w:hAnsi="David" w:cs="David"/>
          <w:sz w:val="24"/>
          <w:szCs w:val="24"/>
          <w:rtl/>
        </w:rPr>
        <w:t xml:space="preserve"> </w:t>
      </w:r>
      <w:r>
        <w:rPr>
          <w:rFonts w:ascii="David" w:hAnsi="David" w:cs="David"/>
          <w:color w:val="000000"/>
          <w:sz w:val="18"/>
          <w:szCs w:val="18"/>
          <w:rtl/>
        </w:rPr>
        <w:t>. ת"ק בברייתא שם ושם, וכעי"ז בתוספ' פרה פ"ט.</w:t>
      </w:r>
    </w:p>
  </w:footnote>
  <w:footnote w:id="1007">
    <w:p w14:paraId="7364B79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1007</w:t>
      </w:r>
      <w:r>
        <w:rPr>
          <w:rFonts w:ascii="David" w:hAnsi="David" w:cs="David"/>
          <w:sz w:val="24"/>
          <w:szCs w:val="24"/>
          <w:rtl/>
        </w:rPr>
        <w:t xml:space="preserve"> </w:t>
      </w:r>
      <w:r>
        <w:rPr>
          <w:rFonts w:ascii="David" w:hAnsi="David" w:cs="David"/>
          <w:color w:val="000000"/>
          <w:sz w:val="18"/>
          <w:szCs w:val="18"/>
          <w:rtl/>
        </w:rPr>
        <w:t>. רש"י יבמות שם; פהמ"ש פרה שם; ר"ש שם; מאירי יבמות שם; רע"ב פרה שם. והיינו שאף לחכמים אין גוזרים, אלא בדבר הדומה למעשה שהיה, ועי' ציונים 1012, 1019, 1026, 1036.</w:t>
      </w:r>
    </w:p>
  </w:footnote>
  <w:footnote w:id="1008">
    <w:p w14:paraId="79E4A6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1008</w:t>
      </w:r>
      <w:r>
        <w:rPr>
          <w:rFonts w:ascii="David" w:hAnsi="David" w:cs="David"/>
          <w:sz w:val="24"/>
          <w:szCs w:val="24"/>
          <w:rtl/>
        </w:rPr>
        <w:t xml:space="preserve"> </w:t>
      </w:r>
      <w:r>
        <w:rPr>
          <w:rFonts w:ascii="David" w:hAnsi="David" w:cs="David"/>
          <w:color w:val="000000"/>
          <w:sz w:val="18"/>
          <w:szCs w:val="18"/>
          <w:rtl/>
        </w:rPr>
        <w:t>. עי' פהמ"ש שם בסוף המשנה. ועי' תוס' מהר"ם מר"ב יבמות עא ב: אין מזין אותם.</w:t>
      </w:r>
    </w:p>
  </w:footnote>
  <w:footnote w:id="1009">
    <w:p w14:paraId="53C9CE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1009</w:t>
      </w:r>
      <w:r>
        <w:rPr>
          <w:rFonts w:ascii="David" w:hAnsi="David" w:cs="David"/>
          <w:sz w:val="24"/>
          <w:szCs w:val="24"/>
          <w:rtl/>
        </w:rPr>
        <w:t xml:space="preserve"> </w:t>
      </w:r>
      <w:r>
        <w:rPr>
          <w:rFonts w:ascii="David" w:hAnsi="David" w:cs="David"/>
          <w:color w:val="000000"/>
          <w:sz w:val="18"/>
          <w:szCs w:val="18"/>
          <w:rtl/>
        </w:rPr>
        <w:t>. עי' רש"י יבמות קטז ב ד"ה לא.</w:t>
      </w:r>
    </w:p>
  </w:footnote>
  <w:footnote w:id="1010">
    <w:p w14:paraId="000C45F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1010</w:t>
      </w:r>
      <w:r>
        <w:rPr>
          <w:rFonts w:ascii="David" w:hAnsi="David" w:cs="David"/>
          <w:sz w:val="24"/>
          <w:szCs w:val="24"/>
          <w:rtl/>
        </w:rPr>
        <w:t xml:space="preserve"> </w:t>
      </w:r>
      <w:r>
        <w:rPr>
          <w:rFonts w:ascii="David" w:hAnsi="David" w:cs="David"/>
          <w:color w:val="000000"/>
          <w:sz w:val="18"/>
          <w:szCs w:val="18"/>
          <w:rtl/>
        </w:rPr>
        <w:t>. רש"י שם ד"ה אלא. ועי' ערל"נ שם, בד' רש"י חגיגה שם ד"ה אלא, שדי אם רגליו של תחתון נוגעות בקרקע.</w:t>
      </w:r>
    </w:p>
  </w:footnote>
  <w:footnote w:id="1011">
    <w:p w14:paraId="71E57F8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1011</w:t>
      </w:r>
      <w:r>
        <w:rPr>
          <w:rFonts w:ascii="David" w:hAnsi="David" w:cs="David"/>
          <w:sz w:val="24"/>
          <w:szCs w:val="24"/>
          <w:rtl/>
        </w:rPr>
        <w:t xml:space="preserve"> </w:t>
      </w:r>
      <w:r>
        <w:rPr>
          <w:rFonts w:ascii="David" w:hAnsi="David" w:cs="David"/>
          <w:color w:val="000000"/>
          <w:sz w:val="18"/>
          <w:szCs w:val="18"/>
          <w:rtl/>
        </w:rPr>
        <w:t>. ת"ק בברייתא שם ושם ובתוספ' שם. ועי' מער"ק שם ותפא"י שם אות מג, שתמה על הרמב"ם שם שהשמיטו, ועי' מאירי חגיגה שם, שיש מתירים ברוכב כמו מעביר ע"ג גשר דלהלן, ואפשר שכוונתו שכ"ד' הרמב"ם, ועי' ראשל"צ חגיגה שם, שבזה פסק הרמב"ם כחנניא דלהלן, ועי' ציון 1022. ועי' תפא"י שם, שה"ה שאסור להעבירם בקרון.</w:t>
      </w:r>
    </w:p>
  </w:footnote>
  <w:footnote w:id="1012">
    <w:p w14:paraId="0C5B4E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1012</w:t>
      </w:r>
      <w:r>
        <w:rPr>
          <w:rFonts w:ascii="David" w:hAnsi="David" w:cs="David"/>
          <w:sz w:val="24"/>
          <w:szCs w:val="24"/>
          <w:rtl/>
        </w:rPr>
        <w:t xml:space="preserve"> </w:t>
      </w:r>
      <w:r>
        <w:rPr>
          <w:rFonts w:ascii="David" w:hAnsi="David" w:cs="David"/>
          <w:color w:val="000000"/>
          <w:sz w:val="18"/>
          <w:szCs w:val="18"/>
          <w:rtl/>
        </w:rPr>
        <w:t>. רש"י יבמות שם ד"ה לא, ועי' רש"י חגיגה שם, ועי' ציון 1010. ועי' ציון 1007.</w:t>
      </w:r>
    </w:p>
  </w:footnote>
  <w:footnote w:id="1013">
    <w:p w14:paraId="25DE17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1013</w:t>
      </w:r>
      <w:r>
        <w:rPr>
          <w:rFonts w:ascii="David" w:hAnsi="David" w:cs="David"/>
          <w:sz w:val="24"/>
          <w:szCs w:val="24"/>
          <w:rtl/>
        </w:rPr>
        <w:t xml:space="preserve"> </w:t>
      </w:r>
      <w:r>
        <w:rPr>
          <w:rFonts w:ascii="David" w:hAnsi="David" w:cs="David"/>
          <w:color w:val="000000"/>
          <w:sz w:val="18"/>
          <w:szCs w:val="18"/>
          <w:rtl/>
        </w:rPr>
        <w:t>. משנה פרה שם. על האיסור לילך במים, והחילוקים בזה, ע"ע סכנה.</w:t>
      </w:r>
    </w:p>
  </w:footnote>
  <w:footnote w:id="1014">
    <w:p w14:paraId="543E35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1014</w:t>
      </w:r>
      <w:r>
        <w:rPr>
          <w:rFonts w:ascii="David" w:hAnsi="David" w:cs="David"/>
          <w:sz w:val="24"/>
          <w:szCs w:val="24"/>
          <w:rtl/>
        </w:rPr>
        <w:t xml:space="preserve"> </w:t>
      </w:r>
      <w:r>
        <w:rPr>
          <w:rFonts w:ascii="David" w:hAnsi="David" w:cs="David"/>
          <w:color w:val="000000"/>
          <w:sz w:val="18"/>
          <w:szCs w:val="18"/>
          <w:rtl/>
        </w:rPr>
        <w:t>. פהמ"ש לרמב"ם שם.</w:t>
      </w:r>
    </w:p>
  </w:footnote>
  <w:footnote w:id="1015">
    <w:p w14:paraId="718966E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1015</w:t>
      </w:r>
      <w:r>
        <w:rPr>
          <w:rFonts w:ascii="David" w:hAnsi="David" w:cs="David"/>
          <w:sz w:val="24"/>
          <w:szCs w:val="24"/>
          <w:rtl/>
        </w:rPr>
        <w:t xml:space="preserve"> </w:t>
      </w:r>
      <w:r>
        <w:rPr>
          <w:rFonts w:ascii="David" w:hAnsi="David" w:cs="David"/>
          <w:color w:val="000000"/>
          <w:sz w:val="18"/>
          <w:szCs w:val="18"/>
          <w:rtl/>
        </w:rPr>
        <w:t>. ברייתא שם ושם ותוספ' שם. ועי' רש"י שבת ס ב ד"ה ואפילו, שלת"ק אסור להעבירם על הגשר, ועי' מהר"ם שם שתמה, ועי' מהר"ם בנט שם שהגיה, ועי' משמרות כהונה חגיגה שם וערל"נ יבמות שם, שפי' ד' רש"י בע"א.</w:t>
      </w:r>
    </w:p>
  </w:footnote>
  <w:footnote w:id="1016">
    <w:p w14:paraId="3F3D17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1016</w:t>
      </w:r>
      <w:r>
        <w:rPr>
          <w:rFonts w:ascii="David" w:hAnsi="David" w:cs="David"/>
          <w:sz w:val="24"/>
          <w:szCs w:val="24"/>
          <w:rtl/>
        </w:rPr>
        <w:t xml:space="preserve"> </w:t>
      </w:r>
      <w:r>
        <w:rPr>
          <w:rFonts w:ascii="David" w:hAnsi="David" w:cs="David"/>
          <w:color w:val="000000"/>
          <w:sz w:val="18"/>
          <w:szCs w:val="18"/>
          <w:rtl/>
        </w:rPr>
        <w:t>. רש"י יבמות שם ד"ה על וחגיגה שם ד"ה אבל.</w:t>
      </w:r>
    </w:p>
  </w:footnote>
  <w:footnote w:id="1017">
    <w:p w14:paraId="25B153E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1017</w:t>
      </w:r>
      <w:r>
        <w:rPr>
          <w:rFonts w:ascii="David" w:hAnsi="David" w:cs="David"/>
          <w:sz w:val="24"/>
          <w:szCs w:val="24"/>
          <w:rtl/>
        </w:rPr>
        <w:t xml:space="preserve"> </w:t>
      </w:r>
      <w:r>
        <w:rPr>
          <w:rFonts w:ascii="David" w:hAnsi="David" w:cs="David"/>
          <w:color w:val="000000"/>
          <w:sz w:val="18"/>
          <w:szCs w:val="18"/>
          <w:rtl/>
        </w:rPr>
        <w:t>. מאירי חגיגה שם.</w:t>
      </w:r>
    </w:p>
  </w:footnote>
  <w:footnote w:id="1018">
    <w:p w14:paraId="1EECAF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1018</w:t>
      </w:r>
      <w:r>
        <w:rPr>
          <w:rFonts w:ascii="David" w:hAnsi="David" w:cs="David"/>
          <w:sz w:val="24"/>
          <w:szCs w:val="24"/>
          <w:rtl/>
        </w:rPr>
        <w:t xml:space="preserve"> </w:t>
      </w:r>
      <w:r>
        <w:rPr>
          <w:rFonts w:ascii="David" w:hAnsi="David" w:cs="David"/>
          <w:color w:val="000000"/>
          <w:sz w:val="18"/>
          <w:szCs w:val="18"/>
          <w:rtl/>
        </w:rPr>
        <w:t>. עי' רש"י יבמות שם: דכארעא סמיכתא היא.</w:t>
      </w:r>
    </w:p>
  </w:footnote>
  <w:footnote w:id="1019">
    <w:p w14:paraId="79144D4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1019</w:t>
      </w:r>
      <w:r>
        <w:rPr>
          <w:rFonts w:ascii="David" w:hAnsi="David" w:cs="David"/>
          <w:sz w:val="24"/>
          <w:szCs w:val="24"/>
          <w:rtl/>
        </w:rPr>
        <w:t xml:space="preserve"> </w:t>
      </w:r>
      <w:r>
        <w:rPr>
          <w:rFonts w:ascii="David" w:hAnsi="David" w:cs="David"/>
          <w:color w:val="000000"/>
          <w:sz w:val="18"/>
          <w:szCs w:val="18"/>
          <w:rtl/>
        </w:rPr>
        <w:t>. רמב"ם שם ה"ג, ובפהמ"ש שם; סמ"ג עשין רלב. ועי' כס"מ שם, שהרמב"ם למד מדברי ר' חנניא בן עקביא דלהלן, שאף לד' ת"ק גזרו כעין מעשה שהיה, ועי' ציון 1007, ועי' קרית מלך שם, ושם שהרמב"ם למד כן ממשנה שבציון 450, ועי' ראשל"צ שם, שבזה קי"ל כחנניא, ועי' פהמ"ש שם, ועי' ציון 1022. ועי' תפא"י שם אות מא.</w:t>
      </w:r>
    </w:p>
  </w:footnote>
  <w:footnote w:id="1020">
    <w:p w14:paraId="1AE6AA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1020</w:t>
      </w:r>
      <w:r>
        <w:rPr>
          <w:rFonts w:ascii="David" w:hAnsi="David" w:cs="David"/>
          <w:sz w:val="24"/>
          <w:szCs w:val="24"/>
          <w:rtl/>
        </w:rPr>
        <w:t xml:space="preserve"> </w:t>
      </w:r>
      <w:r>
        <w:rPr>
          <w:rFonts w:ascii="David" w:hAnsi="David" w:cs="David"/>
          <w:color w:val="000000"/>
          <w:sz w:val="18"/>
          <w:szCs w:val="18"/>
          <w:rtl/>
        </w:rPr>
        <w:t>. ברייתא שם ושם ותוספ' שם.</w:t>
      </w:r>
    </w:p>
  </w:footnote>
  <w:footnote w:id="1021">
    <w:p w14:paraId="1E33C2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1021</w:t>
      </w:r>
      <w:r>
        <w:rPr>
          <w:rFonts w:ascii="David" w:hAnsi="David" w:cs="David"/>
          <w:sz w:val="24"/>
          <w:szCs w:val="24"/>
          <w:rtl/>
        </w:rPr>
        <w:t xml:space="preserve"> </w:t>
      </w:r>
      <w:r>
        <w:rPr>
          <w:rFonts w:ascii="David" w:hAnsi="David" w:cs="David"/>
          <w:color w:val="000000"/>
          <w:sz w:val="18"/>
          <w:szCs w:val="18"/>
          <w:rtl/>
        </w:rPr>
        <w:t>. רש"י חגיגה שם ד"ה רבי. וע"ע גזרה ציון 131 ואילך. ועי' אור המאיר שם.</w:t>
      </w:r>
    </w:p>
  </w:footnote>
  <w:footnote w:id="1022">
    <w:p w14:paraId="42BD94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1022</w:t>
      </w:r>
      <w:r>
        <w:rPr>
          <w:rFonts w:ascii="David" w:hAnsi="David" w:cs="David"/>
          <w:sz w:val="24"/>
          <w:szCs w:val="24"/>
          <w:rtl/>
        </w:rPr>
        <w:t xml:space="preserve"> </w:t>
      </w:r>
      <w:r>
        <w:rPr>
          <w:rFonts w:ascii="David" w:hAnsi="David" w:cs="David"/>
          <w:color w:val="000000"/>
          <w:sz w:val="18"/>
          <w:szCs w:val="18"/>
          <w:rtl/>
        </w:rPr>
        <w:t>. עי' רמב"ם שם, וכס"מ שם ה"ג ואבות הטומאות פי"ב ה"ג ופרחי כהונה ויד דוד חגיגה שם וחזו"א פרה סי' ה ס"ק כו. ועי' ק"ס פרה שם. ועי' ראשל"צ חגיגה שם, שמפרש שהל' במקצת כר' חנניא, ועי' ציונים 1011, 1019. ועי' ציון 1007, שאף לד' ת"ק לא גזרו אלא במה שדומה למעשה שהיה.</w:t>
      </w:r>
    </w:p>
  </w:footnote>
  <w:footnote w:id="1023">
    <w:p w14:paraId="7DF1AE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1023</w:t>
      </w:r>
      <w:r>
        <w:rPr>
          <w:rFonts w:ascii="David" w:hAnsi="David" w:cs="David"/>
          <w:sz w:val="24"/>
          <w:szCs w:val="24"/>
          <w:rtl/>
        </w:rPr>
        <w:t xml:space="preserve"> </w:t>
      </w:r>
      <w:r>
        <w:rPr>
          <w:rFonts w:ascii="David" w:hAnsi="David" w:cs="David"/>
          <w:color w:val="000000"/>
          <w:sz w:val="18"/>
          <w:szCs w:val="18"/>
          <w:rtl/>
        </w:rPr>
        <w:t>. עי' ציון 901. ראשונים ואחרונים דלהלן.</w:t>
      </w:r>
    </w:p>
  </w:footnote>
  <w:footnote w:id="1024">
    <w:p w14:paraId="3BC98BA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1024</w:t>
      </w:r>
      <w:r>
        <w:rPr>
          <w:rFonts w:ascii="David" w:hAnsi="David" w:cs="David"/>
          <w:sz w:val="24"/>
          <w:szCs w:val="24"/>
          <w:rtl/>
        </w:rPr>
        <w:t xml:space="preserve"> </w:t>
      </w:r>
      <w:r>
        <w:rPr>
          <w:rFonts w:ascii="David" w:hAnsi="David" w:cs="David"/>
          <w:color w:val="000000"/>
          <w:sz w:val="18"/>
          <w:szCs w:val="18"/>
          <w:rtl/>
        </w:rPr>
        <w:t>. עי' ציון 952. עי' תוס' חגיגה כג א ד"ה מת וטו"א שם ועולת שלמה זבחים צג א בדעתם, ועי' חזו"א או"ח סי' קכו ס"ק יב, ועי' ציון 978, שי"מ בע"א; תוס' מהר"ם מר"ב יבמות עא ב; ר"ף בשמ"ק (אילן) זבחים שם.</w:t>
      </w:r>
    </w:p>
  </w:footnote>
  <w:footnote w:id="1025">
    <w:p w14:paraId="3DFEB3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1025</w:t>
      </w:r>
      <w:r>
        <w:rPr>
          <w:rFonts w:ascii="David" w:hAnsi="David" w:cs="David"/>
          <w:sz w:val="24"/>
          <w:szCs w:val="24"/>
          <w:rtl/>
        </w:rPr>
        <w:t xml:space="preserve"> </w:t>
      </w:r>
      <w:r>
        <w:rPr>
          <w:rFonts w:ascii="David" w:hAnsi="David" w:cs="David"/>
          <w:color w:val="000000"/>
          <w:sz w:val="18"/>
          <w:szCs w:val="18"/>
          <w:rtl/>
        </w:rPr>
        <w:t>. עי' ציון 965 ואילך, מח' בזה. עי' תוס' זבחים שם ד"ה מי, ועי' ציון הבא.</w:t>
      </w:r>
    </w:p>
  </w:footnote>
  <w:footnote w:id="1026">
    <w:p w14:paraId="6F2C79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1026</w:t>
      </w:r>
      <w:r>
        <w:rPr>
          <w:rFonts w:ascii="David" w:hAnsi="David" w:cs="David"/>
          <w:sz w:val="24"/>
          <w:szCs w:val="24"/>
          <w:rtl/>
        </w:rPr>
        <w:t xml:space="preserve"> </w:t>
      </w:r>
      <w:r>
        <w:rPr>
          <w:rFonts w:ascii="David" w:hAnsi="David" w:cs="David"/>
          <w:color w:val="000000"/>
          <w:sz w:val="18"/>
          <w:szCs w:val="18"/>
          <w:rtl/>
        </w:rPr>
        <w:t>. בית ישחק פרה פ"י ה"ב, בד' תוס' שם, שתמהו עליהם בטו"א שם ואור חדש פסחים שם ואו"ש פרה שם ממשנה שבציון 1033 שלא גזרו במים שאינם מקודשים, ועי' ציון 1028, שי"מ בע"א. ועי' בית ישחק שם, שמ"מ לא גזרו אלא על מקודשים, לפי שכך היה המעשה, ועי' ציונים 1007, 1036. ועי' יד דוד חגיגה כג א.</w:t>
      </w:r>
    </w:p>
  </w:footnote>
  <w:footnote w:id="1027">
    <w:p w14:paraId="183827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1027</w:t>
      </w:r>
      <w:r>
        <w:rPr>
          <w:rFonts w:ascii="David" w:hAnsi="David" w:cs="David"/>
          <w:sz w:val="24"/>
          <w:szCs w:val="24"/>
          <w:rtl/>
        </w:rPr>
        <w:t xml:space="preserve"> </w:t>
      </w:r>
      <w:r>
        <w:rPr>
          <w:rFonts w:ascii="David" w:hAnsi="David" w:cs="David"/>
          <w:color w:val="000000"/>
          <w:sz w:val="18"/>
          <w:szCs w:val="18"/>
          <w:rtl/>
        </w:rPr>
        <w:t>. ע"ע אפר חטאת ציון 118.</w:t>
      </w:r>
    </w:p>
  </w:footnote>
  <w:footnote w:id="1028">
    <w:p w14:paraId="3D4D16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1028</w:t>
      </w:r>
      <w:r>
        <w:rPr>
          <w:rFonts w:ascii="David" w:hAnsi="David" w:cs="David"/>
          <w:sz w:val="24"/>
          <w:szCs w:val="24"/>
          <w:rtl/>
        </w:rPr>
        <w:t xml:space="preserve"> </w:t>
      </w:r>
      <w:r>
        <w:rPr>
          <w:rFonts w:ascii="David" w:hAnsi="David" w:cs="David"/>
          <w:color w:val="000000"/>
          <w:sz w:val="18"/>
          <w:szCs w:val="18"/>
          <w:rtl/>
        </w:rPr>
        <w:t>. בית שערים או"ח סי' שכט וחזו"א פרה סי' ה ס"ק יא, ביישוב ד' תוס' שבציון 1026 ממשנה שבציון 1033, עי' ציון 1026. ועי' חזו"א שם, שמ' שכ"כ לשיטתו בציון 910 שמודה ר' אלעזר שמדרבנן מים מקודשים שנטמאו פסולים, ומ"מ מחמת פסול דרבנן לבד לא היו גוזרים.</w:t>
      </w:r>
    </w:p>
  </w:footnote>
  <w:footnote w:id="1029">
    <w:p w14:paraId="5172810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1029</w:t>
      </w:r>
      <w:r>
        <w:rPr>
          <w:rFonts w:ascii="David" w:hAnsi="David" w:cs="David"/>
          <w:sz w:val="24"/>
          <w:szCs w:val="24"/>
          <w:rtl/>
        </w:rPr>
        <w:t xml:space="preserve"> </w:t>
      </w:r>
      <w:r>
        <w:rPr>
          <w:rFonts w:ascii="David" w:hAnsi="David" w:cs="David"/>
          <w:color w:val="000000"/>
          <w:sz w:val="18"/>
          <w:szCs w:val="18"/>
          <w:rtl/>
        </w:rPr>
        <w:t>. בית שערים שם.</w:t>
      </w:r>
    </w:p>
  </w:footnote>
  <w:footnote w:id="1030">
    <w:p w14:paraId="30CC256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1030</w:t>
      </w:r>
      <w:r>
        <w:rPr>
          <w:rFonts w:ascii="David" w:hAnsi="David" w:cs="David"/>
          <w:sz w:val="24"/>
          <w:szCs w:val="24"/>
          <w:rtl/>
        </w:rPr>
        <w:t xml:space="preserve"> </w:t>
      </w:r>
      <w:r>
        <w:rPr>
          <w:rFonts w:ascii="David" w:hAnsi="David" w:cs="David"/>
          <w:color w:val="000000"/>
          <w:sz w:val="18"/>
          <w:szCs w:val="18"/>
          <w:rtl/>
        </w:rPr>
        <w:t>. עי' ציון 1004.</w:t>
      </w:r>
    </w:p>
  </w:footnote>
  <w:footnote w:id="1031">
    <w:p w14:paraId="22C4E8E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1031</w:t>
      </w:r>
      <w:r>
        <w:rPr>
          <w:rFonts w:ascii="David" w:hAnsi="David" w:cs="David"/>
          <w:sz w:val="24"/>
          <w:szCs w:val="24"/>
          <w:rtl/>
        </w:rPr>
        <w:t xml:space="preserve"> </w:t>
      </w:r>
      <w:r>
        <w:rPr>
          <w:rFonts w:ascii="David" w:hAnsi="David" w:cs="David"/>
          <w:color w:val="000000"/>
          <w:sz w:val="18"/>
          <w:szCs w:val="18"/>
          <w:rtl/>
        </w:rPr>
        <w:t>. עי' ציון 978. דב"א ח"ב סי' ז אות יג, בד' תוס' חגיגה שם, עי' ציון הנ"ל; או"ש שם.</w:t>
      </w:r>
    </w:p>
  </w:footnote>
  <w:footnote w:id="1032">
    <w:p w14:paraId="77275D4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1032</w:t>
      </w:r>
      <w:r>
        <w:rPr>
          <w:rFonts w:ascii="David" w:hAnsi="David" w:cs="David"/>
          <w:sz w:val="24"/>
          <w:szCs w:val="24"/>
          <w:rtl/>
        </w:rPr>
        <w:t xml:space="preserve"> </w:t>
      </w:r>
      <w:r>
        <w:rPr>
          <w:rFonts w:ascii="David" w:hAnsi="David" w:cs="David"/>
          <w:color w:val="000000"/>
          <w:sz w:val="18"/>
          <w:szCs w:val="18"/>
          <w:rtl/>
        </w:rPr>
        <w:t>. עי' ציונים 959, 968. טו"א שם.</w:t>
      </w:r>
    </w:p>
  </w:footnote>
  <w:footnote w:id="1033">
    <w:p w14:paraId="3C3331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1033</w:t>
      </w:r>
      <w:r>
        <w:rPr>
          <w:rFonts w:ascii="David" w:hAnsi="David" w:cs="David"/>
          <w:sz w:val="24"/>
          <w:szCs w:val="24"/>
          <w:rtl/>
        </w:rPr>
        <w:t xml:space="preserve"> </w:t>
      </w:r>
      <w:r>
        <w:rPr>
          <w:rFonts w:ascii="David" w:hAnsi="David" w:cs="David"/>
          <w:color w:val="000000"/>
          <w:sz w:val="18"/>
          <w:szCs w:val="18"/>
          <w:rtl/>
        </w:rPr>
        <w:t>. עי' פרה פ"ט מ"ו, ופהמ"ש לרמב"ם ורע"ב שם; רמב"ם פרה פ"י ה"ב. ועי' תוס' שבציון 1026, ואחרונים שבציונים 1025, 1028, בדעתם.</w:t>
      </w:r>
    </w:p>
  </w:footnote>
  <w:footnote w:id="1034">
    <w:p w14:paraId="12EED1D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1034</w:t>
      </w:r>
      <w:r>
        <w:rPr>
          <w:rFonts w:ascii="David" w:hAnsi="David" w:cs="David"/>
          <w:sz w:val="24"/>
          <w:szCs w:val="24"/>
          <w:rtl/>
        </w:rPr>
        <w:t xml:space="preserve"> </w:t>
      </w:r>
      <w:r>
        <w:rPr>
          <w:rFonts w:ascii="David" w:hAnsi="David" w:cs="David"/>
          <w:color w:val="000000"/>
          <w:sz w:val="18"/>
          <w:szCs w:val="18"/>
          <w:rtl/>
        </w:rPr>
        <w:t>. פהמ"ש שם; רע"ב שם.</w:t>
      </w:r>
    </w:p>
  </w:footnote>
  <w:footnote w:id="1035">
    <w:p w14:paraId="6EF5DF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1035</w:t>
      </w:r>
      <w:r>
        <w:rPr>
          <w:rFonts w:ascii="David" w:hAnsi="David" w:cs="David"/>
          <w:sz w:val="24"/>
          <w:szCs w:val="24"/>
          <w:rtl/>
        </w:rPr>
        <w:t xml:space="preserve"> </w:t>
      </w:r>
      <w:r>
        <w:rPr>
          <w:rFonts w:ascii="David" w:hAnsi="David" w:cs="David"/>
          <w:color w:val="000000"/>
          <w:sz w:val="18"/>
          <w:szCs w:val="18"/>
          <w:rtl/>
        </w:rPr>
        <w:t>. תפא"י שם אות מז. ועי' ציון 981, שאף לענין דין מקום טהור הקלו בכל אלו, ועי' ציונים 36 ואילך, 965, על אופנים שהחמירו במים שאינם מקודשים יותר מן המקודשים.</w:t>
      </w:r>
    </w:p>
  </w:footnote>
  <w:footnote w:id="1036">
    <w:p w14:paraId="699D77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1036</w:t>
      </w:r>
      <w:r>
        <w:rPr>
          <w:rFonts w:ascii="David" w:hAnsi="David" w:cs="David"/>
          <w:sz w:val="24"/>
          <w:szCs w:val="24"/>
          <w:rtl/>
        </w:rPr>
        <w:t xml:space="preserve"> </w:t>
      </w:r>
      <w:r>
        <w:rPr>
          <w:rFonts w:ascii="David" w:hAnsi="David" w:cs="David"/>
          <w:color w:val="000000"/>
          <w:sz w:val="18"/>
          <w:szCs w:val="18"/>
          <w:rtl/>
        </w:rPr>
        <w:t>. בית ישחק פרה שם. ועי' ציון 1007.</w:t>
      </w:r>
    </w:p>
  </w:footnote>
  <w:footnote w:id="1037">
    <w:p w14:paraId="58F3889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1037</w:t>
      </w:r>
      <w:r>
        <w:rPr>
          <w:rFonts w:ascii="David" w:hAnsi="David" w:cs="David"/>
          <w:sz w:val="24"/>
          <w:szCs w:val="24"/>
          <w:rtl/>
        </w:rPr>
        <w:t xml:space="preserve"> </w:t>
      </w:r>
      <w:r>
        <w:rPr>
          <w:rFonts w:ascii="David" w:hAnsi="David" w:cs="David"/>
          <w:color w:val="000000"/>
          <w:sz w:val="18"/>
          <w:szCs w:val="18"/>
          <w:rtl/>
        </w:rPr>
        <w:t>. ע"ע מעלות.</w:t>
      </w:r>
    </w:p>
  </w:footnote>
  <w:footnote w:id="1038">
    <w:p w14:paraId="11CCF71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1038</w:t>
      </w:r>
      <w:r>
        <w:rPr>
          <w:rFonts w:ascii="David" w:hAnsi="David" w:cs="David"/>
          <w:sz w:val="24"/>
          <w:szCs w:val="24"/>
          <w:rtl/>
        </w:rPr>
        <w:t xml:space="preserve"> </w:t>
      </w:r>
      <w:r>
        <w:rPr>
          <w:rFonts w:ascii="David" w:hAnsi="David" w:cs="David"/>
          <w:color w:val="000000"/>
          <w:sz w:val="18"/>
          <w:szCs w:val="18"/>
          <w:rtl/>
        </w:rPr>
        <w:t>. פרה פי"א מ"ו; רמב"ם פרה פי"ג ה"ה.</w:t>
      </w:r>
    </w:p>
  </w:footnote>
  <w:footnote w:id="1039">
    <w:p w14:paraId="7F309B4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1039</w:t>
      </w:r>
      <w:r>
        <w:rPr>
          <w:rFonts w:ascii="David" w:hAnsi="David" w:cs="David"/>
          <w:sz w:val="24"/>
          <w:szCs w:val="24"/>
          <w:rtl/>
        </w:rPr>
        <w:t xml:space="preserve"> </w:t>
      </w:r>
      <w:r>
        <w:rPr>
          <w:rFonts w:ascii="David" w:hAnsi="David" w:cs="David"/>
          <w:color w:val="000000"/>
          <w:sz w:val="18"/>
          <w:szCs w:val="18"/>
          <w:rtl/>
        </w:rPr>
        <w:t>. עי' משנה שם: והמים שאינן מקודשים וכו', וע"ע מעלות, שי"ס שיש חילוק בין מים מקודשים למים שאינם מקדושים.</w:t>
      </w:r>
    </w:p>
  </w:footnote>
  <w:footnote w:id="1040">
    <w:p w14:paraId="06C0DB4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1040</w:t>
      </w:r>
      <w:r>
        <w:rPr>
          <w:rFonts w:ascii="David" w:hAnsi="David" w:cs="David"/>
          <w:sz w:val="24"/>
          <w:szCs w:val="24"/>
          <w:rtl/>
        </w:rPr>
        <w:t xml:space="preserve"> </w:t>
      </w:r>
      <w:r>
        <w:rPr>
          <w:rFonts w:ascii="David" w:hAnsi="David" w:cs="David"/>
          <w:color w:val="000000"/>
          <w:sz w:val="18"/>
          <w:szCs w:val="18"/>
          <w:rtl/>
        </w:rPr>
        <w:t>. תפא"י בועז שם אות יא. ואף על פי שגם טהור שא"צ ביאת מים מטמא מי חטאת, עי' ציון הבא, אפשר שנ"מ אם מטמא בהיסט, עי' משנ"א שם, וכן נ"מ כשטבל ונשמר לחטאת ונטמא בטומאה מדבריהם, שמטמא חטאת, ועי' חזו"א פרה סי' ה ס"ק ט, שאף טהור חשוב צריך ביאת מים, כיון שהוא טמא לחטאת.</w:t>
      </w:r>
    </w:p>
  </w:footnote>
  <w:footnote w:id="1041">
    <w:p w14:paraId="2FA975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1041</w:t>
      </w:r>
      <w:r>
        <w:rPr>
          <w:rFonts w:ascii="David" w:hAnsi="David" w:cs="David"/>
          <w:sz w:val="24"/>
          <w:szCs w:val="24"/>
          <w:rtl/>
        </w:rPr>
        <w:t xml:space="preserve"> </w:t>
      </w:r>
      <w:r>
        <w:rPr>
          <w:rFonts w:ascii="David" w:hAnsi="David" w:cs="David"/>
          <w:color w:val="000000"/>
          <w:sz w:val="18"/>
          <w:szCs w:val="18"/>
          <w:rtl/>
        </w:rPr>
        <w:t>. עי' משנה חגיגה יח ב, ורמב"ם שם ה"א, ועי' ציון 1049. ועי' פרה פ"י מ"ו. ועי' ר"ש פרה פי"א שם. ועי' ציונים 931, 1048. וע"ע מעלות.</w:t>
      </w:r>
    </w:p>
  </w:footnote>
  <w:footnote w:id="1042">
    <w:p w14:paraId="13033FF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1042</w:t>
      </w:r>
      <w:r>
        <w:rPr>
          <w:rFonts w:ascii="David" w:hAnsi="David" w:cs="David"/>
          <w:sz w:val="24"/>
          <w:szCs w:val="24"/>
          <w:rtl/>
        </w:rPr>
        <w:t xml:space="preserve"> </w:t>
      </w:r>
      <w:r>
        <w:rPr>
          <w:rFonts w:ascii="David" w:hAnsi="David" w:cs="David"/>
          <w:color w:val="000000"/>
          <w:sz w:val="18"/>
          <w:szCs w:val="18"/>
          <w:rtl/>
        </w:rPr>
        <w:t>. רמב"ם שם; תפא"י פרה פ"ה מ"ב אות י, ע"פ משנה שם: המטביל כלי לחטאת (אבל אפשר שהיינו בכלי חדש, עי' להלן), ומשנה חגיגה שם. ועי' פרה פ"י מ"ו ורע"ב שם. וע"ע הנ"ל.</w:t>
      </w:r>
    </w:p>
  </w:footnote>
  <w:footnote w:id="1043">
    <w:p w14:paraId="7EBA816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1043</w:t>
      </w:r>
      <w:r>
        <w:rPr>
          <w:rFonts w:ascii="David" w:hAnsi="David" w:cs="David"/>
          <w:sz w:val="24"/>
          <w:szCs w:val="24"/>
          <w:rtl/>
        </w:rPr>
        <w:t xml:space="preserve"> </w:t>
      </w:r>
      <w:r>
        <w:rPr>
          <w:rFonts w:ascii="David" w:hAnsi="David" w:cs="David"/>
          <w:color w:val="000000"/>
          <w:sz w:val="18"/>
          <w:szCs w:val="18"/>
          <w:rtl/>
        </w:rPr>
        <w:t>. רמב"ם שם, וה"י, ובפהמ"ש שם פ"ח מ"ב ור"ש ורא"ש שם, ופהמ"ש פ"י מ"ב, ורא"ש שם, ועי' ר"ש שם, ב' פי'. ועי' תפא"י שם פ"י אות יג, שלא גזרו אלא באוכלים שהוכשרו לקבל טומאה.</w:t>
      </w:r>
    </w:p>
  </w:footnote>
  <w:footnote w:id="1044">
    <w:p w14:paraId="540465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1044</w:t>
      </w:r>
      <w:r>
        <w:rPr>
          <w:rFonts w:ascii="David" w:hAnsi="David" w:cs="David"/>
          <w:sz w:val="24"/>
          <w:szCs w:val="24"/>
          <w:rtl/>
        </w:rPr>
        <w:t xml:space="preserve"> </w:t>
      </w:r>
      <w:r>
        <w:rPr>
          <w:rFonts w:ascii="David" w:hAnsi="David" w:cs="David"/>
          <w:color w:val="000000"/>
          <w:sz w:val="18"/>
          <w:szCs w:val="18"/>
          <w:rtl/>
        </w:rPr>
        <w:t>. עי' ר"ש פ"ח שם בפי' הב', וראב"ד פרה שם ה"ג (לפי' תוי"ט ומשנ"א שם וחזו"א דלהלן, ועי' מרכה"מ ורש"ש שם שפי' ד' הראב"ד במים שאינם מקודשים, ועי' להלן), בפי' משנה שם שבציון 617, (ועי' ציון 56, שד' הראב"ד שאחר קידוש לא נפסלים, ועי' אחרונים שבציון הנ"ל, אבל אפשר שיש בהם פסול היסה"ד כשאר קדשים, ועי' ציון 50). ועי' ציון 86. ועי' ציון 1140, וע' מעלות, שי"מ בע"א.</w:t>
      </w:r>
    </w:p>
  </w:footnote>
  <w:footnote w:id="1045">
    <w:p w14:paraId="47C33C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1045</w:t>
      </w:r>
      <w:r>
        <w:rPr>
          <w:rFonts w:ascii="David" w:hAnsi="David" w:cs="David"/>
          <w:sz w:val="24"/>
          <w:szCs w:val="24"/>
          <w:rtl/>
        </w:rPr>
        <w:t xml:space="preserve"> </w:t>
      </w:r>
      <w:r>
        <w:rPr>
          <w:rFonts w:ascii="David" w:hAnsi="David" w:cs="David"/>
          <w:color w:val="000000"/>
          <w:sz w:val="18"/>
          <w:szCs w:val="18"/>
          <w:rtl/>
        </w:rPr>
        <w:t>. עי' ציון 1246. עי' ראשונים הנ"ל וחזו"א דלהלן.</w:t>
      </w:r>
    </w:p>
  </w:footnote>
  <w:footnote w:id="1046">
    <w:p w14:paraId="27E478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1046</w:t>
      </w:r>
      <w:r>
        <w:rPr>
          <w:rFonts w:ascii="David" w:hAnsi="David" w:cs="David"/>
          <w:sz w:val="24"/>
          <w:szCs w:val="24"/>
          <w:rtl/>
        </w:rPr>
        <w:t xml:space="preserve"> </w:t>
      </w:r>
      <w:r>
        <w:rPr>
          <w:rFonts w:ascii="David" w:hAnsi="David" w:cs="David"/>
          <w:color w:val="000000"/>
          <w:sz w:val="18"/>
          <w:szCs w:val="18"/>
          <w:rtl/>
        </w:rPr>
        <w:t>. עי' ציון 1278. עי' ר"ש שם.</w:t>
      </w:r>
    </w:p>
  </w:footnote>
  <w:footnote w:id="1047">
    <w:p w14:paraId="02EABBB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1047</w:t>
      </w:r>
      <w:r>
        <w:rPr>
          <w:rFonts w:ascii="David" w:hAnsi="David" w:cs="David"/>
          <w:sz w:val="24"/>
          <w:szCs w:val="24"/>
          <w:rtl/>
        </w:rPr>
        <w:t xml:space="preserve"> </w:t>
      </w:r>
      <w:r>
        <w:rPr>
          <w:rFonts w:ascii="David" w:hAnsi="David" w:cs="David"/>
          <w:color w:val="000000"/>
          <w:sz w:val="18"/>
          <w:szCs w:val="18"/>
          <w:rtl/>
        </w:rPr>
        <w:t>. חזו"א פרה סי' ה ס"ק יד, (ע"ש שאם הוא מדין טומאת מי חטאת, אין סברא לחלק בין אדם לכלים, ועי' ציון 1141), וע"ש שאין מטמאים אדם אף בידיו, ע"ש הטעם, וע"ש ס"ק יז, ועי' ציונים 1137, 1277, וע"ע טמאת משקים ציון 203. ועי' מק"ד טהרות סי' נא אות ה.</w:t>
      </w:r>
    </w:p>
  </w:footnote>
  <w:footnote w:id="1048">
    <w:p w14:paraId="022F2D5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1048</w:t>
      </w:r>
      <w:r>
        <w:rPr>
          <w:rFonts w:ascii="David" w:hAnsi="David" w:cs="David"/>
          <w:sz w:val="24"/>
          <w:szCs w:val="24"/>
          <w:rtl/>
        </w:rPr>
        <w:t xml:space="preserve"> </w:t>
      </w:r>
      <w:r>
        <w:rPr>
          <w:rFonts w:ascii="David" w:hAnsi="David" w:cs="David"/>
          <w:color w:val="000000"/>
          <w:sz w:val="18"/>
          <w:szCs w:val="18"/>
          <w:rtl/>
        </w:rPr>
        <w:t>. ר' יוסי בפרה פי"א מ"ג, ור"ש ורא"ש ורע"ב שם, ור' יוסי ור"ש בתוספתא פרה פי"א. ועי' תוספתא שם: קודם לביאתו במים מטמא, שמ' שטבילה מועילה אפי' לא טבל לחטאת, ועי' חס"ד שם שהיא כד' תנאים אלו. ועי' מק"ד שם בסוה"ס, בביאור מחלוקת התנאים.</w:t>
      </w:r>
    </w:p>
  </w:footnote>
  <w:footnote w:id="1049">
    <w:p w14:paraId="66EB84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1049</w:t>
      </w:r>
      <w:r>
        <w:rPr>
          <w:rFonts w:ascii="David" w:hAnsi="David" w:cs="David"/>
          <w:sz w:val="24"/>
          <w:szCs w:val="24"/>
          <w:rtl/>
        </w:rPr>
        <w:t xml:space="preserve"> </w:t>
      </w:r>
      <w:r>
        <w:rPr>
          <w:rFonts w:ascii="David" w:hAnsi="David" w:cs="David"/>
          <w:color w:val="000000"/>
          <w:sz w:val="18"/>
          <w:szCs w:val="18"/>
          <w:rtl/>
        </w:rPr>
        <w:t>. עי' רמב"ם שבציון 1041; פהמ"ש שם; רע"ב שם.</w:t>
      </w:r>
    </w:p>
  </w:footnote>
  <w:footnote w:id="1050">
    <w:p w14:paraId="7436CE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1050</w:t>
      </w:r>
      <w:r>
        <w:rPr>
          <w:rFonts w:ascii="David" w:hAnsi="David" w:cs="David"/>
          <w:sz w:val="24"/>
          <w:szCs w:val="24"/>
          <w:rtl/>
        </w:rPr>
        <w:t xml:space="preserve"> </w:t>
      </w:r>
      <w:r>
        <w:rPr>
          <w:rFonts w:ascii="David" w:hAnsi="David" w:cs="David"/>
          <w:color w:val="000000"/>
          <w:sz w:val="18"/>
          <w:szCs w:val="18"/>
          <w:rtl/>
        </w:rPr>
        <w:t>. ע"ע ספק טומאה וע' תרומה טמאה.</w:t>
      </w:r>
    </w:p>
  </w:footnote>
  <w:footnote w:id="1051">
    <w:p w14:paraId="759AE62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1051</w:t>
      </w:r>
      <w:r>
        <w:rPr>
          <w:rFonts w:ascii="David" w:hAnsi="David" w:cs="David"/>
          <w:sz w:val="24"/>
          <w:szCs w:val="24"/>
          <w:rtl/>
        </w:rPr>
        <w:t xml:space="preserve"> </w:t>
      </w:r>
      <w:r>
        <w:rPr>
          <w:rFonts w:ascii="David" w:hAnsi="David" w:cs="David"/>
          <w:color w:val="000000"/>
          <w:sz w:val="18"/>
          <w:szCs w:val="18"/>
          <w:rtl/>
        </w:rPr>
        <w:t>. ע"ע טומאת משקים ציון 292 ואילך, וע' מחובר לקרקע ציון 151 ואילך. עי' ראשונים דלהלן. ועי' ציון 124.</w:t>
      </w:r>
    </w:p>
  </w:footnote>
  <w:footnote w:id="1052">
    <w:p w14:paraId="527C07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1052</w:t>
      </w:r>
      <w:r>
        <w:rPr>
          <w:rFonts w:ascii="David" w:hAnsi="David" w:cs="David"/>
          <w:sz w:val="24"/>
          <w:szCs w:val="24"/>
          <w:rtl/>
        </w:rPr>
        <w:t xml:space="preserve"> </w:t>
      </w:r>
      <w:r>
        <w:rPr>
          <w:rFonts w:ascii="David" w:hAnsi="David" w:cs="David"/>
          <w:color w:val="000000"/>
          <w:sz w:val="18"/>
          <w:szCs w:val="18"/>
          <w:rtl/>
        </w:rPr>
        <w:t>. במדבר יט יז.</w:t>
      </w:r>
    </w:p>
  </w:footnote>
  <w:footnote w:id="1053">
    <w:p w14:paraId="7B3EBFB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1053</w:t>
      </w:r>
      <w:r>
        <w:rPr>
          <w:rFonts w:ascii="David" w:hAnsi="David" w:cs="David"/>
          <w:sz w:val="24"/>
          <w:szCs w:val="24"/>
          <w:rtl/>
        </w:rPr>
        <w:t xml:space="preserve"> </w:t>
      </w:r>
      <w:r>
        <w:rPr>
          <w:rFonts w:ascii="David" w:hAnsi="David" w:cs="David"/>
          <w:color w:val="000000"/>
          <w:sz w:val="18"/>
          <w:szCs w:val="18"/>
          <w:rtl/>
        </w:rPr>
        <w:t>. עי' גמ' דלהלן, ועי' ציון 225.</w:t>
      </w:r>
    </w:p>
  </w:footnote>
  <w:footnote w:id="1054">
    <w:p w14:paraId="314E1A8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1054</w:t>
      </w:r>
      <w:r>
        <w:rPr>
          <w:rFonts w:ascii="David" w:hAnsi="David" w:cs="David"/>
          <w:sz w:val="24"/>
          <w:szCs w:val="24"/>
          <w:rtl/>
        </w:rPr>
        <w:t xml:space="preserve"> </w:t>
      </w:r>
      <w:r>
        <w:rPr>
          <w:rFonts w:ascii="David" w:hAnsi="David" w:cs="David"/>
          <w:color w:val="000000"/>
          <w:sz w:val="18"/>
          <w:szCs w:val="18"/>
          <w:rtl/>
        </w:rPr>
        <w:t>. רבינו דוד דלהלן.</w:t>
      </w:r>
    </w:p>
  </w:footnote>
  <w:footnote w:id="1055">
    <w:p w14:paraId="1C5CDD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1055</w:t>
      </w:r>
      <w:r>
        <w:rPr>
          <w:rFonts w:ascii="David" w:hAnsi="David" w:cs="David"/>
          <w:sz w:val="24"/>
          <w:szCs w:val="24"/>
          <w:rtl/>
        </w:rPr>
        <w:t xml:space="preserve"> </w:t>
      </w:r>
      <w:r>
        <w:rPr>
          <w:rFonts w:ascii="David" w:hAnsi="David" w:cs="David"/>
          <w:color w:val="000000"/>
          <w:sz w:val="18"/>
          <w:szCs w:val="18"/>
          <w:rtl/>
        </w:rPr>
        <w:t>. עי' תוס' פסחים לד ב ד"ה ונתן ותור"פ ורבינו דוד וחי' הר"ן שם ור"ש פרה פ"ט מ"ג, בפי' גמ' שם: אלמא תלושין וכו'. ועי' תוס' רא"ש ומהר"ם חלאווה פסחים שם ורא"ש פרה פ"ז מ"א. ועי' ציון 127. ועי' ציון 99, שי"ס שאע"פ שהם מחוברים למעיין, אין השקה מועילה להם. וע"ע השקה ציון 103, ושם על שיטת ר"ח שם.</w:t>
      </w:r>
    </w:p>
  </w:footnote>
  <w:footnote w:id="1056">
    <w:p w14:paraId="319EC8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1056</w:t>
      </w:r>
      <w:r>
        <w:rPr>
          <w:rFonts w:ascii="David" w:hAnsi="David" w:cs="David"/>
          <w:sz w:val="24"/>
          <w:szCs w:val="24"/>
          <w:rtl/>
        </w:rPr>
        <w:t xml:space="preserve"> </w:t>
      </w:r>
      <w:r>
        <w:rPr>
          <w:rFonts w:ascii="David" w:hAnsi="David" w:cs="David"/>
          <w:color w:val="000000"/>
          <w:sz w:val="18"/>
          <w:szCs w:val="18"/>
          <w:rtl/>
        </w:rPr>
        <w:t>. תור"פ שם; ר"ש שם; רבינו דוד שם. ועי' ר"ש שם, של' "מעלה" שייך אף בדין תורה, ועי' תוס' שם, שנ' שדין זה אינו מעלה, וע"ע מעלות.</w:t>
      </w:r>
    </w:p>
  </w:footnote>
  <w:footnote w:id="1057">
    <w:p w14:paraId="3389D0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1057</w:t>
      </w:r>
      <w:r>
        <w:rPr>
          <w:rFonts w:ascii="David" w:hAnsi="David" w:cs="David"/>
          <w:sz w:val="24"/>
          <w:szCs w:val="24"/>
          <w:rtl/>
        </w:rPr>
        <w:t xml:space="preserve"> </w:t>
      </w:r>
      <w:r>
        <w:rPr>
          <w:rFonts w:ascii="David" w:hAnsi="David" w:cs="David"/>
          <w:color w:val="000000"/>
          <w:sz w:val="18"/>
          <w:szCs w:val="18"/>
          <w:rtl/>
        </w:rPr>
        <w:t>. רבינו דוד שם.</w:t>
      </w:r>
    </w:p>
  </w:footnote>
  <w:footnote w:id="1058">
    <w:p w14:paraId="490B57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1058</w:t>
      </w:r>
      <w:r>
        <w:rPr>
          <w:rFonts w:ascii="David" w:hAnsi="David" w:cs="David"/>
          <w:sz w:val="24"/>
          <w:szCs w:val="24"/>
          <w:rtl/>
        </w:rPr>
        <w:t xml:space="preserve"> </w:t>
      </w:r>
      <w:r>
        <w:rPr>
          <w:rFonts w:ascii="David" w:hAnsi="David" w:cs="David"/>
          <w:color w:val="000000"/>
          <w:sz w:val="18"/>
          <w:szCs w:val="18"/>
          <w:rtl/>
        </w:rPr>
        <w:t>. עי' ראשונים שבציון 246, שפי' המעלה שבגמ' שם בע"א. ועי' חזו"א פרה סי' יא ס"ק א, שצידד שכיון שא"א לקדשם באותו זמן, שאם יתלשם (עי' ציון 124) יטמאו, נפסל המילוי.</w:t>
      </w:r>
    </w:p>
  </w:footnote>
  <w:footnote w:id="1059">
    <w:p w14:paraId="532C84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1059</w:t>
      </w:r>
      <w:r>
        <w:rPr>
          <w:rFonts w:ascii="David" w:hAnsi="David" w:cs="David"/>
          <w:sz w:val="24"/>
          <w:szCs w:val="24"/>
          <w:rtl/>
        </w:rPr>
        <w:t xml:space="preserve"> </w:t>
      </w:r>
      <w:r>
        <w:rPr>
          <w:rFonts w:ascii="David" w:hAnsi="David" w:cs="David"/>
          <w:color w:val="000000"/>
          <w:sz w:val="18"/>
          <w:szCs w:val="18"/>
          <w:rtl/>
        </w:rPr>
        <w:t>. כלים פ"א מ"א וב; רמב"ם פרה פט"ו ה"א. ועי' להלן וציון 1073 ואילך.</w:t>
      </w:r>
    </w:p>
  </w:footnote>
  <w:footnote w:id="1060">
    <w:p w14:paraId="6DDBE0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1060</w:t>
      </w:r>
      <w:r>
        <w:rPr>
          <w:rFonts w:ascii="David" w:hAnsi="David" w:cs="David"/>
          <w:sz w:val="24"/>
          <w:szCs w:val="24"/>
          <w:rtl/>
        </w:rPr>
        <w:t xml:space="preserve"> </w:t>
      </w:r>
      <w:r>
        <w:rPr>
          <w:rFonts w:ascii="David" w:hAnsi="David" w:cs="David"/>
          <w:color w:val="000000"/>
          <w:sz w:val="18"/>
          <w:szCs w:val="18"/>
          <w:rtl/>
        </w:rPr>
        <w:t>. במדבר יט כא. רמב"ם שם.</w:t>
      </w:r>
    </w:p>
  </w:footnote>
  <w:footnote w:id="1061">
    <w:p w14:paraId="273E86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1061</w:t>
      </w:r>
      <w:r>
        <w:rPr>
          <w:rFonts w:ascii="David" w:hAnsi="David" w:cs="David"/>
          <w:sz w:val="24"/>
          <w:szCs w:val="24"/>
          <w:rtl/>
        </w:rPr>
        <w:t xml:space="preserve"> </w:t>
      </w:r>
      <w:r>
        <w:rPr>
          <w:rFonts w:ascii="David" w:hAnsi="David" w:cs="David"/>
          <w:color w:val="000000"/>
          <w:sz w:val="18"/>
          <w:szCs w:val="18"/>
          <w:rtl/>
        </w:rPr>
        <w:t>. ע"ע אבות הטומאות ציון 2. כס"מ שם.</w:t>
      </w:r>
    </w:p>
  </w:footnote>
  <w:footnote w:id="1062">
    <w:p w14:paraId="24B1237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1062</w:t>
      </w:r>
      <w:r>
        <w:rPr>
          <w:rFonts w:ascii="David" w:hAnsi="David" w:cs="David"/>
          <w:sz w:val="24"/>
          <w:szCs w:val="24"/>
          <w:rtl/>
        </w:rPr>
        <w:t xml:space="preserve"> </w:t>
      </w:r>
      <w:r>
        <w:rPr>
          <w:rFonts w:ascii="David" w:hAnsi="David" w:cs="David"/>
          <w:color w:val="000000"/>
          <w:sz w:val="18"/>
          <w:szCs w:val="18"/>
          <w:rtl/>
        </w:rPr>
        <w:t>. מאירי נדה ט א, וע"ע הנ"ל ציון 31. ועי' אונקלוס שם של"מ כן, שתרגם: מי אדיותא, היינו ל' הזאה, וכ"ה בסמ"ג עשין רלב ובחינוך מ' שצט, ועי' ראב"ע שם ט.</w:t>
      </w:r>
    </w:p>
  </w:footnote>
  <w:footnote w:id="1063">
    <w:p w14:paraId="3AA93F8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1063</w:t>
      </w:r>
      <w:r>
        <w:rPr>
          <w:rFonts w:ascii="David" w:hAnsi="David" w:cs="David"/>
          <w:sz w:val="24"/>
          <w:szCs w:val="24"/>
          <w:rtl/>
        </w:rPr>
        <w:t xml:space="preserve"> </w:t>
      </w:r>
      <w:r>
        <w:rPr>
          <w:rFonts w:ascii="David" w:hAnsi="David" w:cs="David"/>
          <w:color w:val="000000"/>
          <w:sz w:val="18"/>
          <w:szCs w:val="18"/>
          <w:rtl/>
        </w:rPr>
        <w:t>. עי' פרה פ"ט מ"ה, שמטמאים בשר; עי' ר"ש ורא"ש שם פי"א מ"ג; עי' ראשונים שבציון 1317; מאירי פסחים יז ב. ועי' ערל"נ נדה ט א, לשיטתו בציון הבא, שאינו מטמא אוכלים, וכן צידד לומר במרכה"מ פרה פי"ד ה"י, בד' ר"י קורקוס שבכ"מ שם, ליישב קו' רע"א בליקוטים שם, ודחה, ועי' מים טהורים פרה שם, בד' ראשונים נוספים.</w:t>
      </w:r>
    </w:p>
  </w:footnote>
  <w:footnote w:id="1064">
    <w:p w14:paraId="09F6EE9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1064</w:t>
      </w:r>
      <w:r>
        <w:rPr>
          <w:rFonts w:ascii="David" w:hAnsi="David" w:cs="David"/>
          <w:sz w:val="24"/>
          <w:szCs w:val="24"/>
          <w:rtl/>
        </w:rPr>
        <w:t xml:space="preserve"> </w:t>
      </w:r>
      <w:r>
        <w:rPr>
          <w:rFonts w:ascii="David" w:hAnsi="David" w:cs="David"/>
          <w:color w:val="000000"/>
          <w:sz w:val="18"/>
          <w:szCs w:val="18"/>
          <w:rtl/>
        </w:rPr>
        <w:t>. חס"ד כלים פ"א ה"ב; עי' ערל"נ שם; עי' דברי יחזקאל (ברשטיין) סי' א סוף אות ט, וסי' יד אות יח בצד הב'; עבודת לוי מאכ"א פ"ז ה"ג סי' כט. ועי' שיח יצחק יומא יד א.</w:t>
      </w:r>
    </w:p>
  </w:footnote>
  <w:footnote w:id="1065">
    <w:p w14:paraId="612BFAC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1065</w:t>
      </w:r>
      <w:r>
        <w:rPr>
          <w:rFonts w:ascii="David" w:hAnsi="David" w:cs="David"/>
          <w:sz w:val="24"/>
          <w:szCs w:val="24"/>
          <w:rtl/>
        </w:rPr>
        <w:t xml:space="preserve"> </w:t>
      </w:r>
      <w:r>
        <w:rPr>
          <w:rFonts w:ascii="David" w:hAnsi="David" w:cs="David"/>
          <w:color w:val="000000"/>
          <w:sz w:val="18"/>
          <w:szCs w:val="18"/>
          <w:rtl/>
        </w:rPr>
        <w:t>. דברי יחזקאל שם ושם; עבודת לוי שם.</w:t>
      </w:r>
    </w:p>
  </w:footnote>
  <w:footnote w:id="1066">
    <w:p w14:paraId="6F41BC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1066</w:t>
      </w:r>
      <w:r>
        <w:rPr>
          <w:rFonts w:ascii="David" w:hAnsi="David" w:cs="David"/>
          <w:sz w:val="24"/>
          <w:szCs w:val="24"/>
          <w:rtl/>
        </w:rPr>
        <w:t xml:space="preserve"> </w:t>
      </w:r>
      <w:r>
        <w:rPr>
          <w:rFonts w:ascii="David" w:hAnsi="David" w:cs="David"/>
          <w:color w:val="000000"/>
          <w:sz w:val="18"/>
          <w:szCs w:val="18"/>
          <w:rtl/>
        </w:rPr>
        <w:t>. עי' משיב נפש שבציון 1320; שיעורי ר"ד פוברסקי פסחים יח א, ושכ"מ מרמב"ם שם, ושכ"נ מדין טומאת כלי חרס בתוכו ולא מגבו, עי' ציון 1080; דברי יחזקאל סי' יד שם בצד הא', ושכ"נ בפהמ"ש זבים פ"ה. ועי' צ"פ תרומות פ"א ה"י בהשמטה, שיש מח' אם טומאת מי חטאת היא טומאה עצמית, או מחמת מעלה, ע"ש כמה נ"מ. ועי' שע"י ש"ג פכ"ט, שבפהמ"ש בהקדמה לטהרות מ' שטומאתם היא מחמת האפר המעורב, ולפ"ז ודאי אין אומרים שבעה טומאה, ואף אין השקה מועילה, עי' ציון הבא, וצ"ב שא"כ לא שייך לחלק אם יש בהם שיעור הזאה, עי' ציון 1107, ולמה דינם כמים טמאים להכשר, עי' להלן. ועי' תפא"י פרה פי"א בועז אות יא, שחשובים כדבר שקיבל טומאה מאחר, כיון שטומאתם מחמת האפר, ועי' ציון 1071.</w:t>
      </w:r>
    </w:p>
  </w:footnote>
  <w:footnote w:id="1067">
    <w:p w14:paraId="47F7C9D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1067</w:t>
      </w:r>
      <w:r>
        <w:rPr>
          <w:rFonts w:ascii="David" w:hAnsi="David" w:cs="David"/>
          <w:sz w:val="24"/>
          <w:szCs w:val="24"/>
          <w:rtl/>
        </w:rPr>
        <w:t xml:space="preserve"> </w:t>
      </w:r>
      <w:r>
        <w:rPr>
          <w:rFonts w:ascii="David" w:hAnsi="David" w:cs="David"/>
          <w:color w:val="000000"/>
          <w:sz w:val="18"/>
          <w:szCs w:val="18"/>
          <w:rtl/>
        </w:rPr>
        <w:t>. ע"ע טמאת מקדש וקדשיו: איסור הכנסת טומאה. או"ש סוף ח"א הוספות לעבודת יוהכ"פ פ"א ה"ד; דברי יחזקאל שם, לצד זה. ועי' גבו"א יומא יד א, שנ' שנקט שאין איסור בזה.</w:t>
      </w:r>
    </w:p>
  </w:footnote>
  <w:footnote w:id="1068">
    <w:p w14:paraId="08084A7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1068</w:t>
      </w:r>
      <w:r>
        <w:rPr>
          <w:rFonts w:ascii="David" w:hAnsi="David" w:cs="David"/>
          <w:sz w:val="24"/>
          <w:szCs w:val="24"/>
          <w:rtl/>
        </w:rPr>
        <w:t xml:space="preserve"> </w:t>
      </w:r>
      <w:r>
        <w:rPr>
          <w:rFonts w:ascii="David" w:hAnsi="David" w:cs="David"/>
          <w:color w:val="000000"/>
          <w:sz w:val="18"/>
          <w:szCs w:val="18"/>
          <w:rtl/>
        </w:rPr>
        <w:t>. ציונים 1063, 1228, 1320 ואילך.</w:t>
      </w:r>
    </w:p>
  </w:footnote>
  <w:footnote w:id="1069">
    <w:p w14:paraId="411D00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1069</w:t>
      </w:r>
      <w:r>
        <w:rPr>
          <w:rFonts w:ascii="David" w:hAnsi="David" w:cs="David"/>
          <w:sz w:val="24"/>
          <w:szCs w:val="24"/>
          <w:rtl/>
        </w:rPr>
        <w:t xml:space="preserve"> </w:t>
      </w:r>
      <w:r>
        <w:rPr>
          <w:rFonts w:ascii="David" w:hAnsi="David" w:cs="David"/>
          <w:color w:val="000000"/>
          <w:sz w:val="18"/>
          <w:szCs w:val="18"/>
          <w:rtl/>
        </w:rPr>
        <w:t>. ע"ע הכשר: משקים טמאים. ושם ציון 511, שהוא אף כשנפלו שלא לרצון, ולכאו' ה"ה במי חטאת.</w:t>
      </w:r>
    </w:p>
  </w:footnote>
  <w:footnote w:id="1070">
    <w:p w14:paraId="10B5CA2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1070</w:t>
      </w:r>
      <w:r>
        <w:rPr>
          <w:rFonts w:ascii="David" w:hAnsi="David" w:cs="David"/>
          <w:sz w:val="24"/>
          <w:szCs w:val="24"/>
          <w:rtl/>
        </w:rPr>
        <w:t xml:space="preserve"> </w:t>
      </w:r>
      <w:r>
        <w:rPr>
          <w:rFonts w:ascii="David" w:hAnsi="David" w:cs="David"/>
          <w:color w:val="000000"/>
          <w:sz w:val="18"/>
          <w:szCs w:val="18"/>
          <w:rtl/>
        </w:rPr>
        <w:t>. עי' משנ"א פרה פי"א מ"ג ומכשירים פ"ו מ"ו. ועי' חזו"א פרה סי' יד ס"ק ו שהוא חולק, ע"פ דין טומאת משקים שבציון 1311, ועי' חזו"א שם הטעם.</w:t>
      </w:r>
    </w:p>
  </w:footnote>
  <w:footnote w:id="1071">
    <w:p w14:paraId="29197E7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1071</w:t>
      </w:r>
      <w:r>
        <w:rPr>
          <w:rFonts w:ascii="David" w:hAnsi="David" w:cs="David"/>
          <w:sz w:val="24"/>
          <w:szCs w:val="24"/>
          <w:rtl/>
        </w:rPr>
        <w:t xml:space="preserve"> </w:t>
      </w:r>
      <w:r>
        <w:rPr>
          <w:rFonts w:ascii="David" w:hAnsi="David" w:cs="David"/>
          <w:color w:val="000000"/>
          <w:sz w:val="18"/>
          <w:szCs w:val="18"/>
          <w:rtl/>
        </w:rPr>
        <w:t>. ציון 538 ואילך. וע"ש שמ' שר"א חולק שאין מכשירים כיון שיש להם שם לווי. ועי' תפא"י פרה פי"א בועז אות יא, שצידד, לשיטתו לעיל ציון 1066, שאינם מכשירים ומטמאים כאחד.</w:t>
      </w:r>
    </w:p>
  </w:footnote>
  <w:footnote w:id="1072">
    <w:p w14:paraId="52160AA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1072</w:t>
      </w:r>
      <w:r>
        <w:rPr>
          <w:rFonts w:ascii="David" w:hAnsi="David" w:cs="David"/>
          <w:sz w:val="24"/>
          <w:szCs w:val="24"/>
          <w:rtl/>
        </w:rPr>
        <w:t xml:space="preserve"> </w:t>
      </w:r>
      <w:r>
        <w:rPr>
          <w:rFonts w:ascii="David" w:hAnsi="David" w:cs="David"/>
          <w:color w:val="000000"/>
          <w:sz w:val="18"/>
          <w:szCs w:val="18"/>
          <w:rtl/>
        </w:rPr>
        <w:t>. וע"ע הזאה (ב) ציון 169 ואילך.</w:t>
      </w:r>
    </w:p>
  </w:footnote>
  <w:footnote w:id="1073">
    <w:p w14:paraId="32A283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1073</w:t>
      </w:r>
      <w:r>
        <w:rPr>
          <w:rFonts w:ascii="David" w:hAnsi="David" w:cs="David"/>
          <w:sz w:val="24"/>
          <w:szCs w:val="24"/>
          <w:rtl/>
        </w:rPr>
        <w:t xml:space="preserve"> </w:t>
      </w:r>
      <w:r>
        <w:rPr>
          <w:rFonts w:ascii="David" w:hAnsi="David" w:cs="David"/>
          <w:color w:val="000000"/>
          <w:sz w:val="18"/>
          <w:szCs w:val="18"/>
          <w:rtl/>
        </w:rPr>
        <w:t>. כלים פ"א מ"א; עי' יומא יד א ונדה ט א; רמב"ם פרה פט"ו ה"א. ועי' להלן.</w:t>
      </w:r>
    </w:p>
  </w:footnote>
  <w:footnote w:id="1074">
    <w:p w14:paraId="1F8B5F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1074</w:t>
      </w:r>
      <w:r>
        <w:rPr>
          <w:rFonts w:ascii="David" w:hAnsi="David" w:cs="David"/>
          <w:sz w:val="24"/>
          <w:szCs w:val="24"/>
          <w:rtl/>
        </w:rPr>
        <w:t xml:space="preserve"> </w:t>
      </w:r>
      <w:r>
        <w:rPr>
          <w:rFonts w:ascii="David" w:hAnsi="David" w:cs="David"/>
          <w:color w:val="000000"/>
          <w:sz w:val="18"/>
          <w:szCs w:val="18"/>
          <w:rtl/>
        </w:rPr>
        <w:t>. במדבר יט כא. עי' יומא ונדה שם; רמב"ם שם ובפהמ"ש שם.</w:t>
      </w:r>
    </w:p>
  </w:footnote>
  <w:footnote w:id="1075">
    <w:p w14:paraId="40E5E9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1075</w:t>
      </w:r>
      <w:r>
        <w:rPr>
          <w:rFonts w:ascii="David" w:hAnsi="David" w:cs="David"/>
          <w:sz w:val="24"/>
          <w:szCs w:val="24"/>
          <w:rtl/>
        </w:rPr>
        <w:t xml:space="preserve"> </w:t>
      </w:r>
      <w:r>
        <w:rPr>
          <w:rFonts w:ascii="David" w:hAnsi="David" w:cs="David"/>
          <w:color w:val="000000"/>
          <w:sz w:val="18"/>
          <w:szCs w:val="18"/>
          <w:rtl/>
        </w:rPr>
        <w:t>. ע"ע אבות הטמאות ציון 2. רא"ש כלים שם. ועי' רמב"ם שם, שמ' של' נוגע הוא אף בכלים.</w:t>
      </w:r>
    </w:p>
  </w:footnote>
  <w:footnote w:id="1076">
    <w:p w14:paraId="4F4254E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1076</w:t>
      </w:r>
      <w:r>
        <w:rPr>
          <w:rFonts w:ascii="David" w:hAnsi="David" w:cs="David"/>
          <w:sz w:val="24"/>
          <w:szCs w:val="24"/>
          <w:rtl/>
        </w:rPr>
        <w:t xml:space="preserve"> </w:t>
      </w:r>
      <w:r>
        <w:rPr>
          <w:rFonts w:ascii="David" w:hAnsi="David" w:cs="David"/>
          <w:color w:val="000000"/>
          <w:sz w:val="18"/>
          <w:szCs w:val="18"/>
          <w:rtl/>
        </w:rPr>
        <w:t>. שמ"ק זבחים עט א, ועי' מק"ד טהרות סי' נא אות ד, שכ"ה בתוספ' אהלות פ"ה, ועי' חס"ד שם שמפרש בע"א. ועי' ציון 1139 ואילך, ועי' להלן.</w:t>
      </w:r>
    </w:p>
  </w:footnote>
  <w:footnote w:id="1077">
    <w:p w14:paraId="3EC037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1077</w:t>
      </w:r>
      <w:r>
        <w:rPr>
          <w:rFonts w:ascii="David" w:hAnsi="David" w:cs="David"/>
          <w:sz w:val="24"/>
          <w:szCs w:val="24"/>
          <w:rtl/>
        </w:rPr>
        <w:t xml:space="preserve"> </w:t>
      </w:r>
      <w:r>
        <w:rPr>
          <w:rFonts w:ascii="David" w:hAnsi="David" w:cs="David"/>
          <w:color w:val="000000"/>
          <w:sz w:val="18"/>
          <w:szCs w:val="18"/>
          <w:rtl/>
        </w:rPr>
        <w:t>. ציון 1137 ואילך.</w:t>
      </w:r>
    </w:p>
  </w:footnote>
  <w:footnote w:id="1078">
    <w:p w14:paraId="6F2E4B4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1078</w:t>
      </w:r>
      <w:r>
        <w:rPr>
          <w:rFonts w:ascii="David" w:hAnsi="David" w:cs="David"/>
          <w:sz w:val="24"/>
          <w:szCs w:val="24"/>
          <w:rtl/>
        </w:rPr>
        <w:t xml:space="preserve"> </w:t>
      </w:r>
      <w:r>
        <w:rPr>
          <w:rFonts w:ascii="David" w:hAnsi="David" w:cs="David"/>
          <w:color w:val="000000"/>
          <w:sz w:val="18"/>
          <w:szCs w:val="18"/>
          <w:rtl/>
        </w:rPr>
        <w:t>. ציון 1180 ואילך. ועי' מק"ד שם וחזו"א פרה סי' ה ס"ק יח, שמטעם זה אינו מטמא הכלי, ועי' חזו"א שם, שאף במים פסולים לא גזרו שיטמאו את הכלי, אף על פי שבפסולים לא שייך לצורך. ועי' ציון 1182, שיש שכ' שדוקא בצורך הזאה עצמה אינו מטמא. ועי' תפא"י פרה פי"ב בועז אות יג.</w:t>
      </w:r>
    </w:p>
  </w:footnote>
  <w:footnote w:id="1079">
    <w:p w14:paraId="5E0B98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1079</w:t>
      </w:r>
      <w:r>
        <w:rPr>
          <w:rFonts w:ascii="David" w:hAnsi="David" w:cs="David"/>
          <w:sz w:val="24"/>
          <w:szCs w:val="24"/>
          <w:rtl/>
        </w:rPr>
        <w:t xml:space="preserve"> </w:t>
      </w:r>
      <w:r>
        <w:rPr>
          <w:rFonts w:ascii="David" w:hAnsi="David" w:cs="David"/>
          <w:color w:val="000000"/>
          <w:sz w:val="18"/>
          <w:szCs w:val="18"/>
          <w:rtl/>
        </w:rPr>
        <w:t>. כלים שם.</w:t>
      </w:r>
    </w:p>
  </w:footnote>
  <w:footnote w:id="1080">
    <w:p w14:paraId="7DE249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1080</w:t>
      </w:r>
      <w:r>
        <w:rPr>
          <w:rFonts w:ascii="David" w:hAnsi="David" w:cs="David"/>
          <w:sz w:val="24"/>
          <w:szCs w:val="24"/>
          <w:rtl/>
        </w:rPr>
        <w:t xml:space="preserve"> </w:t>
      </w:r>
      <w:r>
        <w:rPr>
          <w:rFonts w:ascii="David" w:hAnsi="David" w:cs="David"/>
          <w:color w:val="000000"/>
          <w:sz w:val="18"/>
          <w:szCs w:val="18"/>
          <w:rtl/>
        </w:rPr>
        <w:t>. ע"ע טמאת כלים ציון 86. פהמ"ש לרמב"ם שם. ועי' שיעורי ר"ד פוברסקי פסחים יח א, ועי' ציון 1066.</w:t>
      </w:r>
    </w:p>
  </w:footnote>
  <w:footnote w:id="1081">
    <w:p w14:paraId="6D1F73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1081</w:t>
      </w:r>
      <w:r>
        <w:rPr>
          <w:rFonts w:ascii="David" w:hAnsi="David" w:cs="David"/>
          <w:sz w:val="24"/>
          <w:szCs w:val="24"/>
          <w:rtl/>
        </w:rPr>
        <w:t xml:space="preserve"> </w:t>
      </w:r>
      <w:r>
        <w:rPr>
          <w:rFonts w:ascii="David" w:hAnsi="David" w:cs="David"/>
          <w:color w:val="000000"/>
          <w:sz w:val="18"/>
          <w:szCs w:val="18"/>
          <w:rtl/>
        </w:rPr>
        <w:t>. כלים שם מ"ב וזבים פ"ה מ"ח; יומא ונדה שם; רמב"ם שם. וע"ע הסט ציון 37 ואילך, שמטמאים אף בהסט, ועי' להלן ציון 1126, ועי' דברי יחזקאל סי' יד אות י. ועי' מי נפתוח פרפר ג אות ט, אם מטמאים ע"י משא בלא להזיזו ממקומו, וע"ע משא.</w:t>
      </w:r>
    </w:p>
  </w:footnote>
  <w:footnote w:id="1082">
    <w:p w14:paraId="6A9A5DA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1082</w:t>
      </w:r>
      <w:r>
        <w:rPr>
          <w:rFonts w:ascii="David" w:hAnsi="David" w:cs="David"/>
          <w:sz w:val="24"/>
          <w:szCs w:val="24"/>
          <w:rtl/>
        </w:rPr>
        <w:t xml:space="preserve"> </w:t>
      </w:r>
      <w:r>
        <w:rPr>
          <w:rFonts w:ascii="David" w:hAnsi="David" w:cs="David"/>
          <w:color w:val="000000"/>
          <w:sz w:val="18"/>
          <w:szCs w:val="18"/>
          <w:rtl/>
        </w:rPr>
        <w:t>. במדבר שם.</w:t>
      </w:r>
    </w:p>
  </w:footnote>
  <w:footnote w:id="1083">
    <w:p w14:paraId="3F06BA0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1083</w:t>
      </w:r>
      <w:r>
        <w:rPr>
          <w:rFonts w:ascii="David" w:hAnsi="David" w:cs="David"/>
          <w:sz w:val="24"/>
          <w:szCs w:val="24"/>
          <w:rtl/>
        </w:rPr>
        <w:t xml:space="preserve"> </w:t>
      </w:r>
      <w:r>
        <w:rPr>
          <w:rFonts w:ascii="David" w:hAnsi="David" w:cs="David"/>
          <w:color w:val="000000"/>
          <w:sz w:val="18"/>
          <w:szCs w:val="18"/>
          <w:rtl/>
        </w:rPr>
        <w:t>. יומא ונדה שם; עי' רמב"ם שם.</w:t>
      </w:r>
    </w:p>
  </w:footnote>
  <w:footnote w:id="1084">
    <w:p w14:paraId="001BCF3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1084</w:t>
      </w:r>
      <w:r>
        <w:rPr>
          <w:rFonts w:ascii="David" w:hAnsi="David" w:cs="David"/>
          <w:sz w:val="24"/>
          <w:szCs w:val="24"/>
          <w:rtl/>
        </w:rPr>
        <w:t xml:space="preserve"> </w:t>
      </w:r>
      <w:r>
        <w:rPr>
          <w:rFonts w:ascii="David" w:hAnsi="David" w:cs="David"/>
          <w:color w:val="000000"/>
          <w:sz w:val="18"/>
          <w:szCs w:val="18"/>
          <w:rtl/>
        </w:rPr>
        <w:t>. ציון 1094 ואילך.</w:t>
      </w:r>
    </w:p>
  </w:footnote>
  <w:footnote w:id="1085">
    <w:p w14:paraId="45E9A3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1085</w:t>
      </w:r>
      <w:r>
        <w:rPr>
          <w:rFonts w:ascii="David" w:hAnsi="David" w:cs="David"/>
          <w:sz w:val="24"/>
          <w:szCs w:val="24"/>
          <w:rtl/>
        </w:rPr>
        <w:t xml:space="preserve"> </w:t>
      </w:r>
      <w:r>
        <w:rPr>
          <w:rFonts w:ascii="David" w:hAnsi="David" w:cs="David"/>
          <w:color w:val="000000"/>
          <w:sz w:val="18"/>
          <w:szCs w:val="18"/>
          <w:rtl/>
        </w:rPr>
        <w:t>. ע"ע הזאה (ב) ציון 166.</w:t>
      </w:r>
    </w:p>
  </w:footnote>
  <w:footnote w:id="1086">
    <w:p w14:paraId="2F2DD31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1086</w:t>
      </w:r>
      <w:r>
        <w:rPr>
          <w:rFonts w:ascii="David" w:hAnsi="David" w:cs="David"/>
          <w:sz w:val="24"/>
          <w:szCs w:val="24"/>
          <w:rtl/>
        </w:rPr>
        <w:t xml:space="preserve"> </w:t>
      </w:r>
      <w:r>
        <w:rPr>
          <w:rFonts w:ascii="David" w:hAnsi="David" w:cs="David"/>
          <w:color w:val="000000"/>
          <w:sz w:val="18"/>
          <w:szCs w:val="18"/>
          <w:rtl/>
        </w:rPr>
        <w:t>. במדבר שם יט.</w:t>
      </w:r>
    </w:p>
  </w:footnote>
  <w:footnote w:id="1087">
    <w:p w14:paraId="0C084EE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1087</w:t>
      </w:r>
      <w:r>
        <w:rPr>
          <w:rFonts w:ascii="David" w:hAnsi="David" w:cs="David"/>
          <w:sz w:val="24"/>
          <w:szCs w:val="24"/>
          <w:rtl/>
        </w:rPr>
        <w:t xml:space="preserve"> </w:t>
      </w:r>
      <w:r>
        <w:rPr>
          <w:rFonts w:ascii="David" w:hAnsi="David" w:cs="David"/>
          <w:color w:val="000000"/>
          <w:sz w:val="18"/>
          <w:szCs w:val="18"/>
          <w:rtl/>
        </w:rPr>
        <w:t>. רש"י יומא שם ד"ה למזה, ועי' ציון 1089; עי' תוס' יומא ונדה שם ד"ה מאי, ושם ושם, שאע"פ שדרשו ל' "טהור" להכשיר טבו"י בהזאה, ע"ע הנ"ל ציון 423 וע' טבול יום ציון 334, שני הדברים נלמדו משם, ועי' ערל"נ שם, איך לומדים ב' הדברים, ועי' גבו"א יומא שם, שתמה, ועי' מנחת בכורים נדה שם; סמ"ג עשין רלב, בשם ר"י.</w:t>
      </w:r>
    </w:p>
  </w:footnote>
  <w:footnote w:id="1088">
    <w:p w14:paraId="35C7F8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1088</w:t>
      </w:r>
      <w:r>
        <w:rPr>
          <w:rFonts w:ascii="David" w:hAnsi="David" w:cs="David"/>
          <w:sz w:val="24"/>
          <w:szCs w:val="24"/>
          <w:rtl/>
        </w:rPr>
        <w:t xml:space="preserve"> </w:t>
      </w:r>
      <w:r>
        <w:rPr>
          <w:rFonts w:ascii="David" w:hAnsi="David" w:cs="David"/>
          <w:color w:val="000000"/>
          <w:sz w:val="18"/>
          <w:szCs w:val="18"/>
          <w:rtl/>
        </w:rPr>
        <w:t>. ע"ע הזאה (ב) ציון 417.</w:t>
      </w:r>
    </w:p>
  </w:footnote>
  <w:footnote w:id="1089">
    <w:p w14:paraId="5396B34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1089</w:t>
      </w:r>
      <w:r>
        <w:rPr>
          <w:rFonts w:ascii="David" w:hAnsi="David" w:cs="David"/>
          <w:sz w:val="24"/>
          <w:szCs w:val="24"/>
          <w:rtl/>
        </w:rPr>
        <w:t xml:space="preserve"> </w:t>
      </w:r>
      <w:r>
        <w:rPr>
          <w:rFonts w:ascii="David" w:hAnsi="David" w:cs="David"/>
          <w:color w:val="000000"/>
          <w:sz w:val="18"/>
          <w:szCs w:val="18"/>
          <w:rtl/>
        </w:rPr>
        <w:t>. ריטב"א יומא שם בשם ר"י. וע"ש שמ' שפי' כן אף ד' רש"י דלעיל.</w:t>
      </w:r>
    </w:p>
  </w:footnote>
  <w:footnote w:id="1090">
    <w:p w14:paraId="576983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1090</w:t>
      </w:r>
      <w:r>
        <w:rPr>
          <w:rFonts w:ascii="David" w:hAnsi="David" w:cs="David"/>
          <w:sz w:val="24"/>
          <w:szCs w:val="24"/>
          <w:rtl/>
        </w:rPr>
        <w:t xml:space="preserve"> </w:t>
      </w:r>
      <w:r>
        <w:rPr>
          <w:rFonts w:ascii="David" w:hAnsi="David" w:cs="David"/>
          <w:color w:val="000000"/>
          <w:sz w:val="18"/>
          <w:szCs w:val="18"/>
          <w:rtl/>
        </w:rPr>
        <w:t>. רמב"ם ופהמ"ש וסמ"ג שם, ועי' כס"מ שם שהוא מן הספרי. ועי' ריטב"א שם שדחה, שאין ללמוד ק"ו מפני שגזה"כ היא, עי' יומא ונדה שם, ועי' פהמ"ש שם שמ' שק"ו זה קבלה הוא. ועי' פתחי נדה נדה שם, בטעם שתוס' דלעיל לא כ' טעם זה.</w:t>
      </w:r>
    </w:p>
  </w:footnote>
  <w:footnote w:id="1091">
    <w:p w14:paraId="05F0B4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1091</w:t>
      </w:r>
      <w:r>
        <w:rPr>
          <w:rFonts w:ascii="David" w:hAnsi="David" w:cs="David"/>
          <w:sz w:val="24"/>
          <w:szCs w:val="24"/>
          <w:rtl/>
        </w:rPr>
        <w:t xml:space="preserve"> </w:t>
      </w:r>
      <w:r>
        <w:rPr>
          <w:rFonts w:ascii="David" w:hAnsi="David" w:cs="David"/>
          <w:color w:val="000000"/>
          <w:sz w:val="18"/>
          <w:szCs w:val="18"/>
          <w:rtl/>
        </w:rPr>
        <w:t>. גליון בתוס' נדה שם. ועי' ציון 1178 ואילך, שי"ס שכל שהוא צורך הזאה לא נטמא.</w:t>
      </w:r>
    </w:p>
  </w:footnote>
  <w:footnote w:id="1092">
    <w:p w14:paraId="7E3CB7C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1092</w:t>
      </w:r>
      <w:r>
        <w:rPr>
          <w:rFonts w:ascii="David" w:hAnsi="David" w:cs="David"/>
          <w:sz w:val="24"/>
          <w:szCs w:val="24"/>
          <w:rtl/>
        </w:rPr>
        <w:t xml:space="preserve"> </w:t>
      </w:r>
      <w:r>
        <w:rPr>
          <w:rFonts w:ascii="David" w:hAnsi="David" w:cs="David"/>
          <w:color w:val="000000"/>
          <w:sz w:val="18"/>
          <w:szCs w:val="18"/>
          <w:rtl/>
        </w:rPr>
        <w:t>. עי' ציון 1074. יומא ונדה שם.</w:t>
      </w:r>
    </w:p>
  </w:footnote>
  <w:footnote w:id="1093">
    <w:p w14:paraId="7A6325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1093</w:t>
      </w:r>
      <w:r>
        <w:rPr>
          <w:rFonts w:ascii="David" w:hAnsi="David" w:cs="David"/>
          <w:sz w:val="24"/>
          <w:szCs w:val="24"/>
          <w:rtl/>
        </w:rPr>
        <w:t xml:space="preserve"> </w:t>
      </w:r>
      <w:r>
        <w:rPr>
          <w:rFonts w:ascii="David" w:hAnsi="David" w:cs="David"/>
          <w:color w:val="000000"/>
          <w:sz w:val="18"/>
          <w:szCs w:val="18"/>
          <w:rtl/>
        </w:rPr>
        <w:t>. עי' ציון 1119 ואילך. יומא ונדה שם. ועי' ציון 1121. ועי' תוס' יומא שם.</w:t>
      </w:r>
    </w:p>
  </w:footnote>
  <w:footnote w:id="1094">
    <w:p w14:paraId="4896587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1094</w:t>
      </w:r>
      <w:r>
        <w:rPr>
          <w:rFonts w:ascii="David" w:hAnsi="David" w:cs="David"/>
          <w:sz w:val="24"/>
          <w:szCs w:val="24"/>
          <w:rtl/>
        </w:rPr>
        <w:t xml:space="preserve"> </w:t>
      </w:r>
      <w:r>
        <w:rPr>
          <w:rFonts w:ascii="David" w:hAnsi="David" w:cs="David"/>
          <w:color w:val="000000"/>
          <w:sz w:val="18"/>
          <w:szCs w:val="18"/>
          <w:rtl/>
        </w:rPr>
        <w:t>. ריטב"א נדה שם.</w:t>
      </w:r>
    </w:p>
  </w:footnote>
  <w:footnote w:id="1095">
    <w:p w14:paraId="4ACC7F5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1095</w:t>
      </w:r>
      <w:r>
        <w:rPr>
          <w:rFonts w:ascii="David" w:hAnsi="David" w:cs="David"/>
          <w:sz w:val="24"/>
          <w:szCs w:val="24"/>
          <w:rtl/>
        </w:rPr>
        <w:t xml:space="preserve"> </w:t>
      </w:r>
      <w:r>
        <w:rPr>
          <w:rFonts w:ascii="David" w:hAnsi="David" w:cs="David"/>
          <w:color w:val="000000"/>
          <w:sz w:val="18"/>
          <w:szCs w:val="18"/>
          <w:rtl/>
        </w:rPr>
        <w:t>. שו"ת קול מבשר ח"ב סי' לז, בביאור מה שהביא תוס' רא"ש דלהלן מהכתוב במ"ב ט טו.</w:t>
      </w:r>
    </w:p>
  </w:footnote>
  <w:footnote w:id="1096">
    <w:p w14:paraId="223EB3C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1096</w:t>
      </w:r>
      <w:r>
        <w:rPr>
          <w:rFonts w:ascii="David" w:hAnsi="David" w:cs="David"/>
          <w:sz w:val="24"/>
          <w:szCs w:val="24"/>
          <w:rtl/>
        </w:rPr>
        <w:t xml:space="preserve"> </w:t>
      </w:r>
      <w:r>
        <w:rPr>
          <w:rFonts w:ascii="David" w:hAnsi="David" w:cs="David"/>
          <w:color w:val="000000"/>
          <w:sz w:val="18"/>
          <w:szCs w:val="18"/>
          <w:rtl/>
        </w:rPr>
        <w:t>. תוס' הרא"ש יומא ונדה שם.</w:t>
      </w:r>
    </w:p>
  </w:footnote>
  <w:footnote w:id="1097">
    <w:p w14:paraId="5A82C9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1097</w:t>
      </w:r>
      <w:r>
        <w:rPr>
          <w:rFonts w:ascii="David" w:hAnsi="David" w:cs="David"/>
          <w:sz w:val="24"/>
          <w:szCs w:val="24"/>
          <w:rtl/>
        </w:rPr>
        <w:t xml:space="preserve"> </w:t>
      </w:r>
      <w:r>
        <w:rPr>
          <w:rFonts w:ascii="David" w:hAnsi="David" w:cs="David"/>
          <w:color w:val="000000"/>
          <w:sz w:val="18"/>
          <w:szCs w:val="18"/>
          <w:rtl/>
        </w:rPr>
        <w:t>. ע"ע הסט ציון 3. הכתב והקבלה במדבר שם.</w:t>
      </w:r>
    </w:p>
  </w:footnote>
  <w:footnote w:id="1098">
    <w:p w14:paraId="668A83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1098</w:t>
      </w:r>
      <w:r>
        <w:rPr>
          <w:rFonts w:ascii="David" w:hAnsi="David" w:cs="David"/>
          <w:sz w:val="24"/>
          <w:szCs w:val="24"/>
          <w:rtl/>
        </w:rPr>
        <w:t xml:space="preserve"> </w:t>
      </w:r>
      <w:r>
        <w:rPr>
          <w:rFonts w:ascii="David" w:hAnsi="David" w:cs="David"/>
          <w:color w:val="000000"/>
          <w:sz w:val="18"/>
          <w:szCs w:val="18"/>
          <w:rtl/>
        </w:rPr>
        <w:t>. עי' ציון 1180. ועי' ציון 1197 שי"ח.</w:t>
      </w:r>
    </w:p>
  </w:footnote>
  <w:footnote w:id="1099">
    <w:p w14:paraId="6AE310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1099</w:t>
      </w:r>
      <w:r>
        <w:rPr>
          <w:rFonts w:ascii="David" w:hAnsi="David" w:cs="David"/>
          <w:sz w:val="24"/>
          <w:szCs w:val="24"/>
          <w:rtl/>
        </w:rPr>
        <w:t xml:space="preserve"> </w:t>
      </w:r>
      <w:r>
        <w:rPr>
          <w:rFonts w:ascii="David" w:hAnsi="David" w:cs="David"/>
          <w:color w:val="000000"/>
          <w:sz w:val="18"/>
          <w:szCs w:val="18"/>
          <w:rtl/>
        </w:rPr>
        <w:t>. קול מבשר שם. וכעי"ז בפי' רש"ר הירש במדבר שם, ועי' גבו"א והכתב והקבלה שם.</w:t>
      </w:r>
    </w:p>
  </w:footnote>
  <w:footnote w:id="1100">
    <w:p w14:paraId="240954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1100</w:t>
      </w:r>
      <w:r>
        <w:rPr>
          <w:rFonts w:ascii="David" w:hAnsi="David" w:cs="David"/>
          <w:sz w:val="24"/>
          <w:szCs w:val="24"/>
          <w:rtl/>
        </w:rPr>
        <w:t xml:space="preserve"> </w:t>
      </w:r>
      <w:r>
        <w:rPr>
          <w:rFonts w:ascii="David" w:hAnsi="David" w:cs="David"/>
          <w:color w:val="000000"/>
          <w:sz w:val="18"/>
          <w:szCs w:val="18"/>
          <w:rtl/>
        </w:rPr>
        <w:t>. ציון 1111.</w:t>
      </w:r>
    </w:p>
  </w:footnote>
  <w:footnote w:id="1101">
    <w:p w14:paraId="14F2272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1101</w:t>
      </w:r>
      <w:r>
        <w:rPr>
          <w:rFonts w:ascii="David" w:hAnsi="David" w:cs="David"/>
          <w:sz w:val="24"/>
          <w:szCs w:val="24"/>
          <w:rtl/>
        </w:rPr>
        <w:t xml:space="preserve"> </w:t>
      </w:r>
      <w:r>
        <w:rPr>
          <w:rFonts w:ascii="David" w:hAnsi="David" w:cs="David"/>
          <w:color w:val="000000"/>
          <w:sz w:val="18"/>
          <w:szCs w:val="18"/>
          <w:rtl/>
        </w:rPr>
        <w:t>. עי' להלן.</w:t>
      </w:r>
    </w:p>
  </w:footnote>
  <w:footnote w:id="1102">
    <w:p w14:paraId="28D46E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1102</w:t>
      </w:r>
      <w:r>
        <w:rPr>
          <w:rFonts w:ascii="David" w:hAnsi="David" w:cs="David"/>
          <w:sz w:val="24"/>
          <w:szCs w:val="24"/>
          <w:rtl/>
        </w:rPr>
        <w:t xml:space="preserve"> </w:t>
      </w:r>
      <w:r>
        <w:rPr>
          <w:rFonts w:ascii="David" w:hAnsi="David" w:cs="David"/>
          <w:color w:val="000000"/>
          <w:sz w:val="18"/>
          <w:szCs w:val="18"/>
          <w:rtl/>
        </w:rPr>
        <w:t>. עי' יומא יד א ונדה ט א, ור"ש כלים פ"א מ"א ומאירי נדה שם. ועי' ציון 431.</w:t>
      </w:r>
    </w:p>
  </w:footnote>
  <w:footnote w:id="1103">
    <w:p w14:paraId="78A545E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1103</w:t>
      </w:r>
      <w:r>
        <w:rPr>
          <w:rFonts w:ascii="David" w:hAnsi="David" w:cs="David"/>
          <w:sz w:val="24"/>
          <w:szCs w:val="24"/>
          <w:rtl/>
        </w:rPr>
        <w:t xml:space="preserve"> </w:t>
      </w:r>
      <w:r>
        <w:rPr>
          <w:rFonts w:ascii="David" w:hAnsi="David" w:cs="David"/>
          <w:color w:val="000000"/>
          <w:sz w:val="18"/>
          <w:szCs w:val="18"/>
          <w:rtl/>
        </w:rPr>
        <w:t>. ע"ע הזאה (ב) ציון 334. עי' הס"ד ביומא ונדה שם, ועי' גבו"א יומא שם, שנ' שכ"ה אף למסק' לסוברים שצריכה שיעור.</w:t>
      </w:r>
    </w:p>
  </w:footnote>
  <w:footnote w:id="1104">
    <w:p w14:paraId="777744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1104</w:t>
      </w:r>
      <w:r>
        <w:rPr>
          <w:rFonts w:ascii="David" w:hAnsi="David" w:cs="David"/>
          <w:sz w:val="24"/>
          <w:szCs w:val="24"/>
          <w:rtl/>
        </w:rPr>
        <w:t xml:space="preserve"> </w:t>
      </w:r>
      <w:r>
        <w:rPr>
          <w:rFonts w:ascii="David" w:hAnsi="David" w:cs="David"/>
          <w:color w:val="000000"/>
          <w:sz w:val="18"/>
          <w:szCs w:val="18"/>
          <w:rtl/>
        </w:rPr>
        <w:t>. ציונים 325 ואילך, 346 ואילך.</w:t>
      </w:r>
    </w:p>
  </w:footnote>
  <w:footnote w:id="1105">
    <w:p w14:paraId="358BA1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1105</w:t>
      </w:r>
      <w:r>
        <w:rPr>
          <w:rFonts w:ascii="David" w:hAnsi="David" w:cs="David"/>
          <w:sz w:val="24"/>
          <w:szCs w:val="24"/>
          <w:rtl/>
        </w:rPr>
        <w:t xml:space="preserve"> </w:t>
      </w:r>
      <w:r>
        <w:rPr>
          <w:rFonts w:ascii="David" w:hAnsi="David" w:cs="David"/>
          <w:color w:val="000000"/>
          <w:sz w:val="18"/>
          <w:szCs w:val="18"/>
          <w:rtl/>
        </w:rPr>
        <w:t>. בהגר"א וז"ז לתוספ' כלים ב"ק פ"א, בביאור תוספ' שם. ועי' ר"ש שם מ"ד, שפי' בע"א, ועי' חס"ד שם.</w:t>
      </w:r>
    </w:p>
  </w:footnote>
  <w:footnote w:id="1106">
    <w:p w14:paraId="48D154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1106</w:t>
      </w:r>
      <w:r>
        <w:rPr>
          <w:rFonts w:ascii="David" w:hAnsi="David" w:cs="David"/>
          <w:sz w:val="24"/>
          <w:szCs w:val="24"/>
          <w:rtl/>
        </w:rPr>
        <w:t xml:space="preserve"> </w:t>
      </w:r>
      <w:r>
        <w:rPr>
          <w:rFonts w:ascii="David" w:hAnsi="David" w:cs="David"/>
          <w:color w:val="000000"/>
          <w:sz w:val="18"/>
          <w:szCs w:val="18"/>
          <w:rtl/>
        </w:rPr>
        <w:t>. ז"ז שם, בביאור תוספ' שם.</w:t>
      </w:r>
    </w:p>
  </w:footnote>
  <w:footnote w:id="1107">
    <w:p w14:paraId="21B1EE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1107</w:t>
      </w:r>
      <w:r>
        <w:rPr>
          <w:rFonts w:ascii="David" w:hAnsi="David" w:cs="David"/>
          <w:sz w:val="24"/>
          <w:szCs w:val="24"/>
          <w:rtl/>
        </w:rPr>
        <w:t xml:space="preserve"> </w:t>
      </w:r>
      <w:r>
        <w:rPr>
          <w:rFonts w:ascii="David" w:hAnsi="David" w:cs="David"/>
          <w:color w:val="000000"/>
          <w:sz w:val="18"/>
          <w:szCs w:val="18"/>
          <w:rtl/>
        </w:rPr>
        <w:t>. כלים שם מ"א וב; רמב"ם פרה פט"ו ה"א. וכ"כ במאירי נדה ועדויות פ"ה מ"ג שם, וביומא שם בשם הרמב"ם, אבל הוא כ' שאף בפחות מכשיעור מטמאים, אלא שאינם מטמאים בגדים, וכ"כ בסד"ר לספרי פיס' קכט, וצ"ב. ועי' ערוך ע' דרס הג', שנ' שכלים אינם נטמאים ממי חטאת אלא כשיש בהם כדי הזאה, וצ"ב.</w:t>
      </w:r>
    </w:p>
  </w:footnote>
  <w:footnote w:id="1108">
    <w:p w14:paraId="421903D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1108</w:t>
      </w:r>
      <w:r>
        <w:rPr>
          <w:rFonts w:ascii="David" w:hAnsi="David" w:cs="David"/>
          <w:sz w:val="24"/>
          <w:szCs w:val="24"/>
          <w:rtl/>
        </w:rPr>
        <w:t xml:space="preserve"> </w:t>
      </w:r>
      <w:r>
        <w:rPr>
          <w:rFonts w:ascii="David" w:hAnsi="David" w:cs="David"/>
          <w:color w:val="000000"/>
          <w:sz w:val="18"/>
          <w:szCs w:val="18"/>
          <w:rtl/>
        </w:rPr>
        <w:t>. רמב"ם שם; מאירי שם. ועי' תוספ' שם ובהגר"א שם.</w:t>
      </w:r>
    </w:p>
  </w:footnote>
  <w:footnote w:id="1109">
    <w:p w14:paraId="54B441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1109</w:t>
      </w:r>
      <w:r>
        <w:rPr>
          <w:rFonts w:ascii="David" w:hAnsi="David" w:cs="David"/>
          <w:sz w:val="24"/>
          <w:szCs w:val="24"/>
          <w:rtl/>
        </w:rPr>
        <w:t xml:space="preserve"> </w:t>
      </w:r>
      <w:r>
        <w:rPr>
          <w:rFonts w:ascii="David" w:hAnsi="David" w:cs="David"/>
          <w:color w:val="000000"/>
          <w:sz w:val="18"/>
          <w:szCs w:val="18"/>
          <w:rtl/>
        </w:rPr>
        <w:t>. במדבר יט כא.</w:t>
      </w:r>
    </w:p>
  </w:footnote>
  <w:footnote w:id="1110">
    <w:p w14:paraId="22300DD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1110</w:t>
      </w:r>
      <w:r>
        <w:rPr>
          <w:rFonts w:ascii="David" w:hAnsi="David" w:cs="David"/>
          <w:sz w:val="24"/>
          <w:szCs w:val="24"/>
          <w:rtl/>
        </w:rPr>
        <w:t xml:space="preserve"> </w:t>
      </w:r>
      <w:r>
        <w:rPr>
          <w:rFonts w:ascii="David" w:hAnsi="David" w:cs="David"/>
          <w:color w:val="000000"/>
          <w:sz w:val="18"/>
          <w:szCs w:val="18"/>
          <w:rtl/>
        </w:rPr>
        <w:t>. עי' ציון 1083.</w:t>
      </w:r>
    </w:p>
  </w:footnote>
  <w:footnote w:id="1111">
    <w:p w14:paraId="2890294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1111</w:t>
      </w:r>
      <w:r>
        <w:rPr>
          <w:rFonts w:ascii="David" w:hAnsi="David" w:cs="David"/>
          <w:sz w:val="24"/>
          <w:szCs w:val="24"/>
          <w:rtl/>
        </w:rPr>
        <w:t xml:space="preserve"> </w:t>
      </w:r>
      <w:r>
        <w:rPr>
          <w:rFonts w:ascii="David" w:hAnsi="David" w:cs="David"/>
          <w:color w:val="000000"/>
          <w:sz w:val="18"/>
          <w:szCs w:val="18"/>
          <w:rtl/>
        </w:rPr>
        <w:t>. ר"ח יומא שם ורמב"ם שם ופהמ"ש לרמב"ם ורע"ב כלים שם, ע"פ יומא ונדה שם: קמ"ל דעד דדרי כשיעור הזאה. ועי' ספ"ז שם, שלמדו שצריך שיעור הזאה, מל' מי נדה, ובמגע נתרבה בכל אופן, ועי' תוס' יומא שם ד"ה אלא שר"ל כעי"ז, ודחו, ועי' מנחת בכורים נדה שם. ועי' ציון 1121.</w:t>
      </w:r>
    </w:p>
  </w:footnote>
  <w:footnote w:id="1112">
    <w:p w14:paraId="3D8C74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1112</w:t>
      </w:r>
      <w:r>
        <w:rPr>
          <w:rFonts w:ascii="David" w:hAnsi="David" w:cs="David"/>
          <w:sz w:val="24"/>
          <w:szCs w:val="24"/>
          <w:rtl/>
        </w:rPr>
        <w:t xml:space="preserve"> </w:t>
      </w:r>
      <w:r>
        <w:rPr>
          <w:rFonts w:ascii="David" w:hAnsi="David" w:cs="David"/>
          <w:color w:val="000000"/>
          <w:sz w:val="18"/>
          <w:szCs w:val="18"/>
          <w:rtl/>
        </w:rPr>
        <w:t>. במדבר שם.</w:t>
      </w:r>
    </w:p>
  </w:footnote>
  <w:footnote w:id="1113">
    <w:p w14:paraId="5068533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1113</w:t>
      </w:r>
      <w:r>
        <w:rPr>
          <w:rFonts w:ascii="David" w:hAnsi="David" w:cs="David"/>
          <w:sz w:val="24"/>
          <w:szCs w:val="24"/>
          <w:rtl/>
        </w:rPr>
        <w:t xml:space="preserve"> </w:t>
      </w:r>
      <w:r>
        <w:rPr>
          <w:rFonts w:ascii="David" w:hAnsi="David" w:cs="David"/>
          <w:color w:val="000000"/>
          <w:sz w:val="18"/>
          <w:szCs w:val="18"/>
          <w:rtl/>
        </w:rPr>
        <w:t>. פהמ"ש שם. וצ"ב אם הכונה שע"כ הכתוב אף כשאין בו כדי הזאה, ולכך לא הוזכר בו משא, (ועי' ציון 1121 ואילך, שהכתוב אף כשיש בו כדי הזאה), או שלכך אין לומדים מגע ממשא שצריך שיעור, שא"כ הכתוב מיותר, שיש ללמוד ממשא שמטמא אף במגע, או שהכונה שאם היה מטמא במשא, א"כ היה טעון כיבוס אף במגע, עי' ציון 1126.</w:t>
      </w:r>
    </w:p>
  </w:footnote>
  <w:footnote w:id="1114">
    <w:p w14:paraId="4D4DB1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1114</w:t>
      </w:r>
      <w:r>
        <w:rPr>
          <w:rFonts w:ascii="David" w:hAnsi="David" w:cs="David"/>
          <w:sz w:val="24"/>
          <w:szCs w:val="24"/>
          <w:rtl/>
        </w:rPr>
        <w:t xml:space="preserve"> </w:t>
      </w:r>
      <w:r>
        <w:rPr>
          <w:rFonts w:ascii="David" w:hAnsi="David" w:cs="David"/>
          <w:color w:val="000000"/>
          <w:sz w:val="18"/>
          <w:szCs w:val="18"/>
          <w:rtl/>
        </w:rPr>
        <w:t>. ציון 1130 ואילך.</w:t>
      </w:r>
    </w:p>
  </w:footnote>
  <w:footnote w:id="1115">
    <w:p w14:paraId="38A389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1115</w:t>
      </w:r>
      <w:r>
        <w:rPr>
          <w:rFonts w:ascii="David" w:hAnsi="David" w:cs="David"/>
          <w:sz w:val="24"/>
          <w:szCs w:val="24"/>
          <w:rtl/>
        </w:rPr>
        <w:t xml:space="preserve"> </w:t>
      </w:r>
      <w:r>
        <w:rPr>
          <w:rFonts w:ascii="David" w:hAnsi="David" w:cs="David"/>
          <w:color w:val="000000"/>
          <w:sz w:val="18"/>
          <w:szCs w:val="18"/>
          <w:rtl/>
        </w:rPr>
        <w:t>. עי' ציונים 1081, 1107.</w:t>
      </w:r>
    </w:p>
  </w:footnote>
  <w:footnote w:id="1116">
    <w:p w14:paraId="74EB9A4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1116</w:t>
      </w:r>
      <w:r>
        <w:rPr>
          <w:rFonts w:ascii="David" w:hAnsi="David" w:cs="David"/>
          <w:sz w:val="24"/>
          <w:szCs w:val="24"/>
          <w:rtl/>
        </w:rPr>
        <w:t xml:space="preserve"> </w:t>
      </w:r>
      <w:r>
        <w:rPr>
          <w:rFonts w:ascii="David" w:hAnsi="David" w:cs="David"/>
          <w:color w:val="000000"/>
          <w:sz w:val="18"/>
          <w:szCs w:val="18"/>
          <w:rtl/>
        </w:rPr>
        <w:t>. כלים פ"א מ"ב וזבים פ"ה מ"ח; רמב"ם פרה פט"ו ה"א. על מהות טומאת בגדים, ע"ע טמאה בחיבורים: בשאר טומאות ואילך.</w:t>
      </w:r>
    </w:p>
  </w:footnote>
  <w:footnote w:id="1117">
    <w:p w14:paraId="0D897C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1117</w:t>
      </w:r>
      <w:r>
        <w:rPr>
          <w:rFonts w:ascii="David" w:hAnsi="David" w:cs="David"/>
          <w:sz w:val="24"/>
          <w:szCs w:val="24"/>
          <w:rtl/>
        </w:rPr>
        <w:t xml:space="preserve"> </w:t>
      </w:r>
      <w:r>
        <w:rPr>
          <w:rFonts w:ascii="David" w:hAnsi="David" w:cs="David"/>
          <w:color w:val="000000"/>
          <w:sz w:val="18"/>
          <w:szCs w:val="18"/>
          <w:rtl/>
        </w:rPr>
        <w:t>. במדבר יט כא, ועי' ציון 1082 ואילך. רמב"ם שם.</w:t>
      </w:r>
    </w:p>
  </w:footnote>
  <w:footnote w:id="1118">
    <w:p w14:paraId="6E73EF7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1118</w:t>
      </w:r>
      <w:r>
        <w:rPr>
          <w:rFonts w:ascii="David" w:hAnsi="David" w:cs="David"/>
          <w:sz w:val="24"/>
          <w:szCs w:val="24"/>
          <w:rtl/>
        </w:rPr>
        <w:t xml:space="preserve"> </w:t>
      </w:r>
      <w:r>
        <w:rPr>
          <w:rFonts w:ascii="David" w:hAnsi="David" w:cs="David"/>
          <w:color w:val="000000"/>
          <w:sz w:val="18"/>
          <w:szCs w:val="18"/>
          <w:rtl/>
        </w:rPr>
        <w:t>. עי' ציון 1073.</w:t>
      </w:r>
    </w:p>
  </w:footnote>
  <w:footnote w:id="1119">
    <w:p w14:paraId="70B5BA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1119</w:t>
      </w:r>
      <w:r>
        <w:rPr>
          <w:rFonts w:ascii="David" w:hAnsi="David" w:cs="David"/>
          <w:sz w:val="24"/>
          <w:szCs w:val="24"/>
          <w:rtl/>
        </w:rPr>
        <w:t xml:space="preserve"> </w:t>
      </w:r>
      <w:r>
        <w:rPr>
          <w:rFonts w:ascii="David" w:hAnsi="David" w:cs="David"/>
          <w:color w:val="000000"/>
          <w:sz w:val="18"/>
          <w:szCs w:val="18"/>
          <w:rtl/>
        </w:rPr>
        <w:t>. עי' רש"י במדבר שם, ורא"ם שם; עי' פהמ"ש לרמב"ם כלים שם מ"ב וג, ומל"מ פרה שם, ועי' רמב"ם שם, ועי' להלן; ר"ש זבים פ"ה מ"ח, ור"ש מכ"י כלים שם, ועי' כ"מ פרה שם בשמו, ועי' מי נפתוח פרפר ג אות ח; תוס' יומא יד א ד"ה אלא; רא"ש כלים שם מ"ב שם; עי' האגודה שם; רע"ב שם. ועי' מל"מ שם, שכן מוכח בתוספתא וברמב"ם שבציון 1126, שהנוגע אינו מטמא בגדים אלא משום היסט. ועי' רא"ם שם, שכן פשטות הגמ' יומא שם ונדה ט א, שאין להעמיד הכתוב "ומזה מי הנדה יכבס בגדיו", בנוגע אלא בנושא כשיעור הזאה, משום שנוגע אין בו כיבוס בגדים, ומ' שהיינו אפי' בשיעור הזאה. ועי' תו"כ דיבורא דחובה פרק יב (יג), שמ' שנוגע מטמא בגדים, ואף כשאין בהם שיעור הזאה, ועי' רבנו הלל שם שתמה, ועי' ראב"ד שם שמיישב, ועי' קרבן אהרן שם, ועי' הג' הגר"א שם ומלבי"ם שם סי' שא, ועי' מלבי"ם במדבר שם.</w:t>
      </w:r>
    </w:p>
  </w:footnote>
  <w:footnote w:id="1120">
    <w:p w14:paraId="06B0B78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1120</w:t>
      </w:r>
      <w:r>
        <w:rPr>
          <w:rFonts w:ascii="David" w:hAnsi="David" w:cs="David"/>
          <w:sz w:val="24"/>
          <w:szCs w:val="24"/>
          <w:rtl/>
        </w:rPr>
        <w:t xml:space="preserve"> </w:t>
      </w:r>
      <w:r>
        <w:rPr>
          <w:rFonts w:ascii="David" w:hAnsi="David" w:cs="David"/>
          <w:color w:val="000000"/>
          <w:sz w:val="18"/>
          <w:szCs w:val="18"/>
          <w:rtl/>
        </w:rPr>
        <w:t>. במדבר שם. ועי' ציון 1074 ואילך.</w:t>
      </w:r>
    </w:p>
  </w:footnote>
  <w:footnote w:id="1121">
    <w:p w14:paraId="447DB8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1121</w:t>
      </w:r>
      <w:r>
        <w:rPr>
          <w:rFonts w:ascii="David" w:hAnsi="David" w:cs="David"/>
          <w:sz w:val="24"/>
          <w:szCs w:val="24"/>
          <w:rtl/>
        </w:rPr>
        <w:t xml:space="preserve"> </w:t>
      </w:r>
      <w:r>
        <w:rPr>
          <w:rFonts w:ascii="David" w:hAnsi="David" w:cs="David"/>
          <w:color w:val="000000"/>
          <w:sz w:val="18"/>
          <w:szCs w:val="18"/>
          <w:rtl/>
        </w:rPr>
        <w:t>. עי' תוס' יומא שם, ועי' תוי"ט כלים שם. ועי' ציון 1113. וכעי"ז כ' רע"ב שם, וע"ש שהביא כן מהכתוב שם כב "והנפש הנוגעת תטמא עד הערב", שלא הוזכר בו כיבוס, ועי' תוי"ט שם שתמה, שהכתוב נאמר על הנוגע במת עצמו, ועי' חי' מהרי"ח שם, שתי'. ועי' תוס' ותוס' הרא"ש ותו"י שם, בטעם שלא העמידו הכתוב "ומזה מי הנדה יכבס בגדיו" לענין מגע בשיעור הזאה, עי' ציון 1092 ואילך.</w:t>
      </w:r>
    </w:p>
  </w:footnote>
  <w:footnote w:id="1122">
    <w:p w14:paraId="26215C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1122</w:t>
      </w:r>
      <w:r>
        <w:rPr>
          <w:rFonts w:ascii="David" w:hAnsi="David" w:cs="David"/>
          <w:sz w:val="24"/>
          <w:szCs w:val="24"/>
          <w:rtl/>
        </w:rPr>
        <w:t xml:space="preserve"> </w:t>
      </w:r>
      <w:r>
        <w:rPr>
          <w:rFonts w:ascii="David" w:hAnsi="David" w:cs="David"/>
          <w:color w:val="000000"/>
          <w:sz w:val="18"/>
          <w:szCs w:val="18"/>
          <w:rtl/>
        </w:rPr>
        <w:t>. ר"ש מכ"י כלים שם, ועי' בר"ש שלפנינו ובהגהות; רא"ש שם. והיינו שהכתוב הוא אף כשיש בו שיעור הזאה, עי' ציון הקודם.</w:t>
      </w:r>
    </w:p>
  </w:footnote>
  <w:footnote w:id="1123">
    <w:p w14:paraId="68E363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1123</w:t>
      </w:r>
      <w:r>
        <w:rPr>
          <w:rFonts w:ascii="David" w:hAnsi="David" w:cs="David"/>
          <w:sz w:val="24"/>
          <w:szCs w:val="24"/>
          <w:rtl/>
        </w:rPr>
        <w:t xml:space="preserve"> </w:t>
      </w:r>
      <w:r>
        <w:rPr>
          <w:rFonts w:ascii="David" w:hAnsi="David" w:cs="David"/>
          <w:color w:val="000000"/>
          <w:sz w:val="18"/>
          <w:szCs w:val="18"/>
          <w:rtl/>
        </w:rPr>
        <w:t>. ע"ע מגע וע' משא וע' נבלה. תוי"ט שם. ועי' תוס' שם.</w:t>
      </w:r>
    </w:p>
  </w:footnote>
  <w:footnote w:id="1124">
    <w:p w14:paraId="767A09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1124</w:t>
      </w:r>
      <w:r>
        <w:rPr>
          <w:rFonts w:ascii="David" w:hAnsi="David" w:cs="David"/>
          <w:sz w:val="24"/>
          <w:szCs w:val="24"/>
          <w:rtl/>
        </w:rPr>
        <w:t xml:space="preserve"> </w:t>
      </w:r>
      <w:r>
        <w:rPr>
          <w:rFonts w:ascii="David" w:hAnsi="David" w:cs="David"/>
          <w:color w:val="000000"/>
          <w:sz w:val="18"/>
          <w:szCs w:val="18"/>
          <w:rtl/>
        </w:rPr>
        <w:t>. כלים שם.</w:t>
      </w:r>
    </w:p>
  </w:footnote>
  <w:footnote w:id="1125">
    <w:p w14:paraId="42C45C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1125</w:t>
      </w:r>
      <w:r>
        <w:rPr>
          <w:rFonts w:ascii="David" w:hAnsi="David" w:cs="David"/>
          <w:sz w:val="24"/>
          <w:szCs w:val="24"/>
          <w:rtl/>
        </w:rPr>
        <w:t xml:space="preserve"> </w:t>
      </w:r>
      <w:r>
        <w:rPr>
          <w:rFonts w:ascii="David" w:hAnsi="David" w:cs="David"/>
          <w:color w:val="000000"/>
          <w:sz w:val="18"/>
          <w:szCs w:val="18"/>
          <w:rtl/>
        </w:rPr>
        <w:t>. רא"ש שם; עי' האגודה שם; רבנו הלל שם; רע"ב שם; קרבן אהרן לתו"כ שם; עי' תוס' רע"א שם; עי' אחרונים שבציון 1127. ועי' מי נפתוח שם, בטעם שנקט התנא ל' זה. ועי' ציון 1135, שי"מ באופ"א.</w:t>
      </w:r>
    </w:p>
  </w:footnote>
  <w:footnote w:id="1126">
    <w:p w14:paraId="022E4E6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1126</w:t>
      </w:r>
      <w:r>
        <w:rPr>
          <w:rFonts w:ascii="David" w:hAnsi="David" w:cs="David"/>
          <w:sz w:val="24"/>
          <w:szCs w:val="24"/>
          <w:rtl/>
        </w:rPr>
        <w:t xml:space="preserve"> </w:t>
      </w:r>
      <w:r>
        <w:rPr>
          <w:rFonts w:ascii="David" w:hAnsi="David" w:cs="David"/>
          <w:color w:val="000000"/>
          <w:sz w:val="18"/>
          <w:szCs w:val="18"/>
          <w:rtl/>
        </w:rPr>
        <w:t>. תוספתא זבים פ"ה, לגי' ר"ש זבים פ"ה מ"ח, ובהגר"א וז"ז וחס"ד לתוספתא שם, ולפנינו בטעות: שאין בהם כדי הזאה; עי' רמב"ם שאר אבות הטומאות פ"ו הי"ג, וכס"מ שם ופרה פט"ו ה"א וקרבן אהרן שם ומל"מ ומער"ק פרה שם ומי נפתוח שם ואמנה אות לט ומלבי"ם במדבר שם וזרע אברהם לספרי שם וסד"ט כלים יג א בדעתו, ושכן כוונת רמב"ם פרה שם, ועי' מל"מ שם, שכן מוכח מפהמ"ש שבציון 1119, ועי' ציון 1134, שי"מ באופ"א. ועי' רע"ב שם: שהנוגע במי הנדה ואינו נושאם אינו מטמא אפי' בגדים, ומ' ששייך שיגע במים בלא משא, ועי' ציון 1128. ועי' ציון 1081. ועי' מק"ד טהרות סי' מח אות א, על משא חלק משיעור הטומאה, וע"ע הסט ציון 39. וע"ע משא.</w:t>
      </w:r>
    </w:p>
  </w:footnote>
  <w:footnote w:id="1127">
    <w:p w14:paraId="4582E9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1127</w:t>
      </w:r>
      <w:r>
        <w:rPr>
          <w:rFonts w:ascii="David" w:hAnsi="David" w:cs="David"/>
          <w:sz w:val="24"/>
          <w:szCs w:val="24"/>
          <w:rtl/>
        </w:rPr>
        <w:t xml:space="preserve"> </w:t>
      </w:r>
      <w:r>
        <w:rPr>
          <w:rFonts w:ascii="David" w:hAnsi="David" w:cs="David"/>
          <w:color w:val="000000"/>
          <w:sz w:val="18"/>
          <w:szCs w:val="18"/>
          <w:rtl/>
        </w:rPr>
        <w:t>. כס"מ שם ושם; קרבן אהרן שם; א"ר כלים שם; תפא"י שם אות טו.</w:t>
      </w:r>
    </w:p>
  </w:footnote>
  <w:footnote w:id="1128">
    <w:p w14:paraId="4A3999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1128</w:t>
      </w:r>
      <w:r>
        <w:rPr>
          <w:rFonts w:ascii="David" w:hAnsi="David" w:cs="David"/>
          <w:sz w:val="24"/>
          <w:szCs w:val="24"/>
          <w:rtl/>
        </w:rPr>
        <w:t xml:space="preserve"> </w:t>
      </w:r>
      <w:r>
        <w:rPr>
          <w:rFonts w:ascii="David" w:hAnsi="David" w:cs="David"/>
          <w:color w:val="000000"/>
          <w:sz w:val="18"/>
          <w:szCs w:val="18"/>
          <w:rtl/>
        </w:rPr>
        <w:t>. כס"מ שאר אבות הטומאה שם, בשם ר"י קורקוס: אפשר. ועי' ציון 1263 ואילך, ושם בטעם שמטמאים אף על פי שהם פסולים, ושי"ח. ועי' מי נפתוח פרפר שם, שבתוספ' מ' שלא שייך מגע בלא משא אף בקרושים. ועי' תפא"י בועז שם אות ב.</w:t>
      </w:r>
    </w:p>
  </w:footnote>
  <w:footnote w:id="1129">
    <w:p w14:paraId="1EAFAAC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1129</w:t>
      </w:r>
      <w:r>
        <w:rPr>
          <w:rFonts w:ascii="David" w:hAnsi="David" w:cs="David"/>
          <w:sz w:val="24"/>
          <w:szCs w:val="24"/>
          <w:rtl/>
        </w:rPr>
        <w:t xml:space="preserve"> </w:t>
      </w:r>
      <w:r>
        <w:rPr>
          <w:rFonts w:ascii="David" w:hAnsi="David" w:cs="David"/>
          <w:color w:val="000000"/>
          <w:sz w:val="18"/>
          <w:szCs w:val="18"/>
          <w:rtl/>
        </w:rPr>
        <w:t>. עי' ציון 1180 ואילך. מק"ד שם. ועי' תפא"י שם, שבעצם טומאת מגע במי חטאת, נ"מ ג"כ לכלים שאינם נטמאים במשא, ע"ע משא.</w:t>
      </w:r>
    </w:p>
  </w:footnote>
  <w:footnote w:id="1130">
    <w:p w14:paraId="543798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1130</w:t>
      </w:r>
      <w:r>
        <w:rPr>
          <w:rFonts w:ascii="David" w:hAnsi="David" w:cs="David"/>
          <w:sz w:val="24"/>
          <w:szCs w:val="24"/>
          <w:rtl/>
        </w:rPr>
        <w:t xml:space="preserve"> </w:t>
      </w:r>
      <w:r>
        <w:rPr>
          <w:rFonts w:ascii="David" w:hAnsi="David" w:cs="David"/>
          <w:color w:val="000000"/>
          <w:sz w:val="18"/>
          <w:szCs w:val="18"/>
          <w:rtl/>
        </w:rPr>
        <w:t>. עי' ערוך ע' רכב, ומלבי"ם שם בדעתו, ועי' להלן; רא"ם במדבר שם, בד' ספרי דלהלן, וכ"נ בפי' רבנו הלל לספרי שם, ועי' לשון ערומים ללשונות הרא"ם שם ומנחת בכורים נדה ט א; עי' ק"ס פרה שם, בד' ספרי זוטא במדבר שם, שכ' כעין ספרי דלהלן. ועי' להלן שי"מ דבריהם בע"א. וכ"נ בסמ"ג עשין רלב. ועי' להלן. ועי' תו"כ שבציון 1119, וראב"ד ורבנו הלל וקרבן אהרן שם.</w:t>
      </w:r>
    </w:p>
  </w:footnote>
  <w:footnote w:id="1131">
    <w:p w14:paraId="73DB37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1131</w:t>
      </w:r>
      <w:r>
        <w:rPr>
          <w:rFonts w:ascii="David" w:hAnsi="David" w:cs="David"/>
          <w:sz w:val="24"/>
          <w:szCs w:val="24"/>
          <w:rtl/>
        </w:rPr>
        <w:t xml:space="preserve"> </w:t>
      </w:r>
      <w:r>
        <w:rPr>
          <w:rFonts w:ascii="David" w:hAnsi="David" w:cs="David"/>
          <w:color w:val="000000"/>
          <w:sz w:val="18"/>
          <w:szCs w:val="18"/>
          <w:rtl/>
        </w:rPr>
        <w:t>. במדבר שם.</w:t>
      </w:r>
    </w:p>
  </w:footnote>
  <w:footnote w:id="1132">
    <w:p w14:paraId="3BE2000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1132</w:t>
      </w:r>
      <w:r>
        <w:rPr>
          <w:rFonts w:ascii="David" w:hAnsi="David" w:cs="David"/>
          <w:sz w:val="24"/>
          <w:szCs w:val="24"/>
          <w:rtl/>
        </w:rPr>
        <w:t xml:space="preserve"> </w:t>
      </w:r>
      <w:r>
        <w:rPr>
          <w:rFonts w:ascii="David" w:hAnsi="David" w:cs="David"/>
          <w:color w:val="000000"/>
          <w:sz w:val="18"/>
          <w:szCs w:val="18"/>
          <w:rtl/>
        </w:rPr>
        <w:t>. ספרי חקת פיס' קכט. ועי' ציון 1074 ואילך.</w:t>
      </w:r>
    </w:p>
  </w:footnote>
  <w:footnote w:id="1133">
    <w:p w14:paraId="682754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1133</w:t>
      </w:r>
      <w:r>
        <w:rPr>
          <w:rFonts w:ascii="David" w:hAnsi="David" w:cs="David"/>
          <w:sz w:val="24"/>
          <w:szCs w:val="24"/>
          <w:rtl/>
        </w:rPr>
        <w:t xml:space="preserve"> </w:t>
      </w:r>
      <w:r>
        <w:rPr>
          <w:rFonts w:ascii="David" w:hAnsi="David" w:cs="David"/>
          <w:color w:val="000000"/>
          <w:sz w:val="18"/>
          <w:szCs w:val="18"/>
          <w:rtl/>
        </w:rPr>
        <w:t>. רא"ם שם; סד"ר שם. ועי' רא"ם שם, שמ"מ חלוקים שמים שאין בהם כשיעור הזאה אין מטמאים במשא, עי' ציון 1101 ואילך, שלא הוזכר בהם אלא נוגע, ועי' ציון 1107 מסד"ר. ועי' רבנו הלל לתו"כ שם. ועי' מלבי"ם במדבר שם, שביאר כוונת הספרי משום היסט, וכתוספתא דלעיל (וכ"נ בקרבן אהרן שם), ועי' מי נפתוח שם, שצידד לומר כן בד' הערוך שם, ועי' פרי האדמה שם, שצידד לומר כן אף בד' רא"ם וק"ס שם.</w:t>
      </w:r>
    </w:p>
  </w:footnote>
  <w:footnote w:id="1134">
    <w:p w14:paraId="47DE8B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1134</w:t>
      </w:r>
      <w:r>
        <w:rPr>
          <w:rFonts w:ascii="David" w:hAnsi="David" w:cs="David"/>
          <w:sz w:val="24"/>
          <w:szCs w:val="24"/>
          <w:rtl/>
        </w:rPr>
        <w:t xml:space="preserve"> </w:t>
      </w:r>
      <w:r>
        <w:rPr>
          <w:rFonts w:ascii="David" w:hAnsi="David" w:cs="David"/>
          <w:color w:val="000000"/>
          <w:sz w:val="18"/>
          <w:szCs w:val="18"/>
          <w:rtl/>
        </w:rPr>
        <w:t>. עי' רא"ם וסד"ר שם, בד' רמב"ם פרה שם ה"א, שהנוגע במים שיש בהם כשיעור הזאה מטמא בגדים, וכ"נ בסמ"ג שם, ובמאירי יומא יד א ושיח יצחק שם בדעתו (ועי' מאירי נדה שם, שמטמא בגדים, אבל אפשר שהוא משום שבכל מגע יש משא, כדלעיל), וכן צידד לומד בכס"מ פרה שם מתחילה, ועי' מהרש"א יומא שם, שאין הכרע בד' הרמב"ם, וצ"ב מרמב"ם שאר אבות הטומאות שם, ועי' ציון 1126.</w:t>
      </w:r>
    </w:p>
  </w:footnote>
  <w:footnote w:id="1135">
    <w:p w14:paraId="3F8F06C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1135</w:t>
      </w:r>
      <w:r>
        <w:rPr>
          <w:rFonts w:ascii="David" w:hAnsi="David" w:cs="David"/>
          <w:sz w:val="24"/>
          <w:szCs w:val="24"/>
          <w:rtl/>
        </w:rPr>
        <w:t xml:space="preserve"> </w:t>
      </w:r>
      <w:r>
        <w:rPr>
          <w:rFonts w:ascii="David" w:hAnsi="David" w:cs="David"/>
          <w:color w:val="000000"/>
          <w:sz w:val="18"/>
          <w:szCs w:val="18"/>
          <w:rtl/>
        </w:rPr>
        <w:t>. עי' ציון 1123. כס"מ שם לצד זה, ועי' קרבן אהרן שם, שצידד לפרש כן אף לסוברים שטומאתו משום היסט. ועי' תוס' יומא יד א ותוס' רע"א כלים שם. ועי' מי נפתוח שם הובא בתוס' אנ"ש שם, שפירש המשנה בע"א.</w:t>
      </w:r>
    </w:p>
  </w:footnote>
  <w:footnote w:id="1136">
    <w:p w14:paraId="6D0500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1136</w:t>
      </w:r>
      <w:r>
        <w:rPr>
          <w:rFonts w:ascii="David" w:hAnsi="David" w:cs="David"/>
          <w:sz w:val="24"/>
          <w:szCs w:val="24"/>
          <w:rtl/>
        </w:rPr>
        <w:t xml:space="preserve"> </w:t>
      </w:r>
      <w:r>
        <w:rPr>
          <w:rFonts w:ascii="David" w:hAnsi="David" w:cs="David"/>
          <w:color w:val="000000"/>
          <w:sz w:val="18"/>
          <w:szCs w:val="18"/>
          <w:rtl/>
        </w:rPr>
        <w:t>. עי' ירושלמי יומא פ"ו ה"ו הובא בתוס' זבחים קה ב, ואחרונים שבציונים 1137, 1144 בביאורו. ועי' דברי יחזקאל סי' יד אות טז ואילך ובי"צ או"ח סי' מה אות א, שפי' הירו' בע"א, עי' ציון 1180. ועי' מק"ד טהרות סי' נא אות ד, שכ"ה בתוספ' אהלות פ"ה, ועי' חס"ד שם, שמפרש בע"א. ועי' ציון 1191, שי"ס שמ"מ המים פסולים.</w:t>
      </w:r>
    </w:p>
  </w:footnote>
  <w:footnote w:id="1137">
    <w:p w14:paraId="73F1FF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1137</w:t>
      </w:r>
      <w:r>
        <w:rPr>
          <w:rFonts w:ascii="David" w:hAnsi="David" w:cs="David"/>
          <w:sz w:val="24"/>
          <w:szCs w:val="24"/>
          <w:rtl/>
        </w:rPr>
        <w:t xml:space="preserve"> </w:t>
      </w:r>
      <w:r>
        <w:rPr>
          <w:rFonts w:ascii="David" w:hAnsi="David" w:cs="David"/>
          <w:color w:val="000000"/>
          <w:sz w:val="18"/>
          <w:szCs w:val="18"/>
          <w:rtl/>
        </w:rPr>
        <w:t>. ר"ש פרה פ"ט מ"ח (ועי' ציון 1191, ומרכה"מ שבציון הנ"ל וחזו"א שבציון 1143 בסתירת ד' הר"ש), ורע"ב שם, בביאור משנה שם, ועי' משנה שם שמדברת במים פסולים, ועי' חזו"א פרה סי' ה ס"ק יג, שהיינו שאף פסולים כן, ואין אומרים שלא יטמאו כלל, או שכיון שנפסלו מטמאים כמים שאין קדושים (עי' ציון 1044 ואילך, שאין מטמאים אלא כלים, ועי' רש"ש פסחים סט א, ועי' ר"ש שבציון הנ"ל שבתחילה פי' משנה הנ"ל דוקא בפסולים, וע"ש מסקנתו, ועי' ציון 1278), ועי' ציון 1142, ועי' ציונים 1211, 1278, שי"מ המשנה באופ"א; עי' רע"ב שם מ"ט, ועי' ציון 1302; ר"ש שם פ"ח מ"ב (ועי' רא"ש שם, ועי' להלן), ור"ש ורע"ב שם פ"י מ"ו; מק"ד שם וחזו"א שם ס"ק יב (וע"ש סי' יג ס"ק ו) וקול מבשר ח"ב סי' לז אות ג, בביאור ירו' שם, ועי' משנ"א פ"ט שם ועמק הנצי"ב פ' חוקת עמ' קצד ואו"ש פרה פי"ג ה"ו. ועי' חזו"א סי' ה שם. ועי' חזו"א שם סי' ט ס"ק יב, שכ"ה ד' רש"י. ועי' ציונים 1277, 1281.</w:t>
      </w:r>
    </w:p>
  </w:footnote>
  <w:footnote w:id="1138">
    <w:p w14:paraId="25F3181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1138</w:t>
      </w:r>
      <w:r>
        <w:rPr>
          <w:rFonts w:ascii="David" w:hAnsi="David" w:cs="David"/>
          <w:sz w:val="24"/>
          <w:szCs w:val="24"/>
          <w:rtl/>
        </w:rPr>
        <w:t xml:space="preserve"> </w:t>
      </w:r>
      <w:r>
        <w:rPr>
          <w:rFonts w:ascii="David" w:hAnsi="David" w:cs="David"/>
          <w:color w:val="000000"/>
          <w:sz w:val="18"/>
          <w:szCs w:val="18"/>
          <w:rtl/>
        </w:rPr>
        <w:t>. תוי"ט שם, ע"פ פהמ"ש לרמב"ם שם (ועי' ציון 1142); חזו"א שם סי' ו ס"ק ה, ועי' להלן. ועי' קה"י טהרות סי' לו אות ב וסי' לז אות ב. ועי' ציונים 198, 594, שטמא פסול למילוי וקידוש, וע"ע הזאה (ב) ציון 417, שטמא פסול להזאה.</w:t>
      </w:r>
    </w:p>
  </w:footnote>
  <w:footnote w:id="1139">
    <w:p w14:paraId="79EEDA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1139</w:t>
      </w:r>
      <w:r>
        <w:rPr>
          <w:rFonts w:ascii="David" w:hAnsi="David" w:cs="David"/>
          <w:sz w:val="24"/>
          <w:szCs w:val="24"/>
          <w:rtl/>
        </w:rPr>
        <w:t xml:space="preserve"> </w:t>
      </w:r>
      <w:r>
        <w:rPr>
          <w:rFonts w:ascii="David" w:hAnsi="David" w:cs="David"/>
          <w:color w:val="000000"/>
          <w:sz w:val="18"/>
          <w:szCs w:val="18"/>
          <w:rtl/>
        </w:rPr>
        <w:t>. ר"ש פ"ח שם, וכעי"ז בר"ש ורע"ב פ"י שם, ועי' תוספ' שם פי"א. ועי' עבודת לוי מאכ"א פ"ז ה"ג סי' כט, שאין זה ראיה בלבד, אלא זו הסיבה שאינו מטמא, ועי' קה"י שם אות ג, ושם שי"ל שאם מטמא לענין חטאת, היה טמא אף בלא נגיעה, ע"ש הטעם. וצ"ב למה לא כ' שהמים עצמם יטמאו את הצלוחית, עי' ציון 1076, ואפשר שבלא דבר אמצעי פשוט להם שאינם חוזרים ומטמאים, עי' ציון 1144, ועי' ציון הבא, ועי' חזו"א שם סי' ה ס"ק יב (לשיטתו בציונים 1180, 1197), שהוא משום שלצורך אינו מטמא. וצ"ב אם כ"ה אף לד' ר"א שמי חטאת שנטמאו מטהרים, עי' ציון 901, שלדבריו אין הכרח שהמים טהורים. ועי' ציון 1197.</w:t>
      </w:r>
    </w:p>
  </w:footnote>
  <w:footnote w:id="1140">
    <w:p w14:paraId="5B4FC5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1140</w:t>
      </w:r>
      <w:r>
        <w:rPr>
          <w:rFonts w:ascii="David" w:hAnsi="David" w:cs="David"/>
          <w:sz w:val="24"/>
          <w:szCs w:val="24"/>
          <w:rtl/>
        </w:rPr>
        <w:t xml:space="preserve"> </w:t>
      </w:r>
      <w:r>
        <w:rPr>
          <w:rFonts w:ascii="David" w:hAnsi="David" w:cs="David"/>
          <w:color w:val="000000"/>
          <w:sz w:val="18"/>
          <w:szCs w:val="18"/>
          <w:rtl/>
        </w:rPr>
        <w:t>. עי' ר"ש פ"ח שם, בפי' הג' במשנה שם, שאם נפלו משקים על הסנדל נטמא ומטמא את האדם לחטאת אף על פי שהוא אינו נטמא מחמתם, שהמשקים היינו מי חטאת שנתקדשו, ומטמאים את הכלים לטמא את האדם לחטאת, ועי' רא"ש שם, ועי' ציון הבא. ועי' ר"ש שם: אפי' נפסלו המים, ועי' מרכה"מ פרה פי"ג ה"ג ועוד, שיש לגרוס "אפי' לא נפסלו". וצ"ב שכל מי חטאת שבצלוחית תטמא הצלוחית מחמת המים (ועי' ציון 1076), ותחזור ותפסול את המים, ועי' ציון הקודם, ועי' מרכה"מ שם פי"ד ה"י. ועי' ציון 1144, שי"ס שדוקא הנטמא ממי החטאת אינו חוזר ומטמאם, אבל דרך דבר אחר מטמא, ולדבריהם מטעם זה הכלים מטמאים את האדם לטמא מי חטאת. ועי' ציון 1044 וע' מעלות, שי"מ המשנה בע"א.</w:t>
      </w:r>
    </w:p>
  </w:footnote>
  <w:footnote w:id="1141">
    <w:p w14:paraId="1E45742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1141</w:t>
      </w:r>
      <w:r>
        <w:rPr>
          <w:rFonts w:ascii="David" w:hAnsi="David" w:cs="David"/>
          <w:sz w:val="24"/>
          <w:szCs w:val="24"/>
          <w:rtl/>
        </w:rPr>
        <w:t xml:space="preserve"> </w:t>
      </w:r>
      <w:r>
        <w:rPr>
          <w:rFonts w:ascii="David" w:hAnsi="David" w:cs="David"/>
          <w:color w:val="000000"/>
          <w:sz w:val="18"/>
          <w:szCs w:val="18"/>
          <w:rtl/>
        </w:rPr>
        <w:t>. מרכה"מ פי"ג שם, ועי' רא"ש שם, שנ' שגזרו בכלים, כשם שמצינו גזירות אחרות שגזרו שיטמאו יותר מאדם, ועי' ציון 1047. ועי' חזו"א שם ס"ק טו, לשיטתו בציון 1047, שכוונת הר"ש לטומאת משקים.</w:t>
      </w:r>
    </w:p>
  </w:footnote>
  <w:footnote w:id="1142">
    <w:p w14:paraId="6984FB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1142</w:t>
      </w:r>
      <w:r>
        <w:rPr>
          <w:rFonts w:ascii="David" w:hAnsi="David" w:cs="David"/>
          <w:sz w:val="24"/>
          <w:szCs w:val="24"/>
          <w:rtl/>
        </w:rPr>
        <w:t xml:space="preserve"> </w:t>
      </w:r>
      <w:r>
        <w:rPr>
          <w:rFonts w:ascii="David" w:hAnsi="David" w:cs="David"/>
          <w:color w:val="000000"/>
          <w:sz w:val="18"/>
          <w:szCs w:val="18"/>
          <w:rtl/>
        </w:rPr>
        <w:t>. עי' להלן; עי' פהמ"ש לרמב"ם פ"ט שם, ורמב"ם פרה פט"ו ה"ב, שפי' משנה שם דוקא במים פסולים (הואיל ואינם מטמאים אלא מדרבנן, עי' ציון 1240 ואילך), עי' ציון 1278 ואילך, וחזו"א שם סי' ה ס"ק יג בדעתו, שמים כשרים מטמאים לחטאת, ושרשי הי"ם שם בד' פהמ"ש פ"י שם, ומשנ"א כלים פ"א מ"ב, בד' רמב"ם שם ה"א, ועי' ציון 1281; עי' רא"ש פרה פי"א מ"ג, שהטעם שאינם מטמאים טהור לחטאת, עי' ציון 1211, שאל"כ לא ימצא טהור המזה, ועי' ציון 1220, שי"מ בע"א, ועי' רא"ש שם פ"ח מ"ב; עי' ראשונים שבציון 1188 ואילך, ועי' תפא"י בועז פרה פי"א אות יא וחזו"א שם וקה"י סי' לו שם ואחרונים שבציון 1191, (ושם מדברי יחזקאל שמפרש בע"א, וע"ש אות טו, שמ"מ מפורש כן בתו"י), בדעתם, ועי' קה"י סי' לז שם שדחה; קה"י סי' לו שם, בד' ראשונים שבציון 1180, ועי' דברי יחזקאל דלהלן. ועי' מק"ד שם, שכ"נ בירו' יומא פ"א ה"א.</w:t>
      </w:r>
    </w:p>
  </w:footnote>
  <w:footnote w:id="1143">
    <w:p w14:paraId="2DBA752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1143</w:t>
      </w:r>
      <w:r>
        <w:rPr>
          <w:rFonts w:ascii="David" w:hAnsi="David" w:cs="David"/>
          <w:sz w:val="24"/>
          <w:szCs w:val="24"/>
          <w:rtl/>
        </w:rPr>
        <w:t xml:space="preserve"> </w:t>
      </w:r>
      <w:r>
        <w:rPr>
          <w:rFonts w:ascii="David" w:hAnsi="David" w:cs="David"/>
          <w:color w:val="000000"/>
          <w:sz w:val="18"/>
          <w:szCs w:val="18"/>
          <w:rtl/>
        </w:rPr>
        <w:t>. דברי יחזקאל שם אות יד, בד' צד א' בריטב"א שבציון 1193 (וכ"נ בקה"י שם), ובד' מאירי שבציון 1182, ועי' לעיל, וע"ש אות טז, וע"ש אות יח, בד' ראשונים נוספים, ועי' ציון הבא; חזו"א שם ס"ק יב ויג, בד' הרמב"ם והר"ש, וע"ש ס"ק כא, בד' ראב"ד פרה פי"ד ה"ז, אבל אפשר שכוונתו לענין חולין או לענין משא, עי' ציון 1272 ואילך, ועי' חזו"א שם סי' טו ס"ק ו, בד' תוספ' פי"ב לפי' מ"ב שם.</w:t>
      </w:r>
    </w:p>
  </w:footnote>
  <w:footnote w:id="1144">
    <w:p w14:paraId="652C22F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1144</w:t>
      </w:r>
      <w:r>
        <w:rPr>
          <w:rFonts w:ascii="David" w:hAnsi="David" w:cs="David"/>
          <w:sz w:val="24"/>
          <w:szCs w:val="24"/>
          <w:rtl/>
        </w:rPr>
        <w:t xml:space="preserve"> </w:t>
      </w:r>
      <w:r>
        <w:rPr>
          <w:rFonts w:ascii="David" w:hAnsi="David" w:cs="David"/>
          <w:color w:val="000000"/>
          <w:sz w:val="18"/>
          <w:szCs w:val="18"/>
          <w:rtl/>
        </w:rPr>
        <w:t>. עי' מרכה"מ פי"ד שם ה"י ועבודת לוי מאכ"א שם, שצידדו לומר כן, ושכ"ד ירו' שם. ועי' לעיל; עי' מרכה"מ בפי' א' ודברי יחזקאל שם אות יח ואילך וחזו"י סוף ליקוטי הש"ס המכתב הב' אות ב ועבודת לוי שם, בד' תוס' פסחים שם ד"ה שמא (ותוס' הרשב"א שם, ועי' לעיל), ועי' חזו"י שם בהוספה במכתב שלישי, ועי' להלן, ועי' דברי יחזקאל שם, בד' ראשונים נוספים, ועי' דברי יחזקאל ועבודת לוי שם, שתלוי בטעם שאין מי חטאת מטמאים מי חטאת. ועי' מרכה"מ שם, שמפרש כן ד' ר"מ בתוספ' פי"א, עי' ציון הבא, ולא פי' במה נחלקו עליו.</w:t>
      </w:r>
    </w:p>
  </w:footnote>
  <w:footnote w:id="1145">
    <w:p w14:paraId="69455A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1145</w:t>
      </w:r>
      <w:r>
        <w:rPr>
          <w:rFonts w:ascii="David" w:hAnsi="David" w:cs="David"/>
          <w:sz w:val="24"/>
          <w:szCs w:val="24"/>
          <w:rtl/>
        </w:rPr>
        <w:t xml:space="preserve"> </w:t>
      </w:r>
      <w:r>
        <w:rPr>
          <w:rFonts w:ascii="David" w:hAnsi="David" w:cs="David"/>
          <w:color w:val="000000"/>
          <w:sz w:val="18"/>
          <w:szCs w:val="18"/>
          <w:rtl/>
        </w:rPr>
        <w:t>. עי' תורי"ד שבת צא א; עי' ראשונים שבציון 1192; רש"ש פסחים שם ומק"ד ובי"צ שם, בד' תוס' (ותוס' הרשב"א) שם, ועי' מרכה"מ שם בפי' ב' ושרשי הי"ם עבודת יוה"כ פ"א ה"ד, שלדעתם אינו מטמא המים אלא במגע ולא כשנושאם, ועי' מרכה"מ שבציון 1191, בד' ראשונים נוספים, ועי' בי"צ שם, ועי' רע"א שם ומשנ"א פרה פ"י מ"ו ודברי יחזקאל שם אות יז וקול מבשר שם וחזו"א שם סי' ה ס"ק כח, בד' תוס' שם. וכן נקטו אחרונים שבציון 1142, בד' ראשונים שבציון הנ"ל. ועי' קה"י שם, שהוא מח' תנאים בתוספ' שם, לגי' הר"ש שם פי"א מ"ג, ועי' חזו"א שם סי' יד ס"ק ז, ועי' ציון 1184, ועי' ציון הקודם. ועי' תוס' זבחים שם א, שכ' תי' נוסף, אבל אפשר שאינם חולקים לענין מי חטאת.</w:t>
      </w:r>
    </w:p>
  </w:footnote>
  <w:footnote w:id="1146">
    <w:p w14:paraId="24C02A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1146</w:t>
      </w:r>
      <w:r>
        <w:rPr>
          <w:rFonts w:ascii="David" w:hAnsi="David" w:cs="David"/>
          <w:sz w:val="24"/>
          <w:szCs w:val="24"/>
          <w:rtl/>
        </w:rPr>
        <w:t xml:space="preserve"> </w:t>
      </w:r>
      <w:r>
        <w:rPr>
          <w:rFonts w:ascii="David" w:hAnsi="David" w:cs="David"/>
          <w:color w:val="000000"/>
          <w:sz w:val="18"/>
          <w:szCs w:val="18"/>
          <w:rtl/>
        </w:rPr>
        <w:t>. עי' ציון 1180. משנ"א פ"ח ופ"ט שם, ועי' ציון 1197; רש"ש ודברי יחזקאל וקה"י שם. וצ"ל שהמשנה פ"ט מ"ח, שבציון 1137, היינו משום שהם פסולים, שהרי פסולים אין נשיאתם לצורך, ועי' רש"ש שם.</w:t>
      </w:r>
    </w:p>
  </w:footnote>
  <w:footnote w:id="1147">
    <w:p w14:paraId="7B293A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1147</w:t>
      </w:r>
      <w:r>
        <w:rPr>
          <w:rFonts w:ascii="David" w:hAnsi="David" w:cs="David"/>
          <w:sz w:val="24"/>
          <w:szCs w:val="24"/>
          <w:rtl/>
        </w:rPr>
        <w:t xml:space="preserve"> </w:t>
      </w:r>
      <w:r>
        <w:rPr>
          <w:rFonts w:ascii="David" w:hAnsi="David" w:cs="David"/>
          <w:color w:val="000000"/>
          <w:sz w:val="18"/>
          <w:szCs w:val="18"/>
          <w:rtl/>
        </w:rPr>
        <w:t>. עי' ציון 1211 ואילך, ועי' חזו"א שם סי' טו ס"ק יג.</w:t>
      </w:r>
    </w:p>
  </w:footnote>
  <w:footnote w:id="1148">
    <w:p w14:paraId="77B20C8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1148</w:t>
      </w:r>
      <w:r>
        <w:rPr>
          <w:rFonts w:ascii="David" w:hAnsi="David" w:cs="David"/>
          <w:sz w:val="24"/>
          <w:szCs w:val="24"/>
          <w:rtl/>
        </w:rPr>
        <w:t xml:space="preserve"> </w:t>
      </w:r>
      <w:r>
        <w:rPr>
          <w:rFonts w:ascii="David" w:hAnsi="David" w:cs="David"/>
          <w:color w:val="000000"/>
          <w:sz w:val="18"/>
          <w:szCs w:val="18"/>
          <w:rtl/>
        </w:rPr>
        <w:t>. יומא יד א ונדה ט א. ועי' ציון 1172 ואילך, שאף המזה אינו נטמא, ושי"ס שכל שלצורך הזאה לא נטמא. ועי' תוס' יומא ונדה שם שאע"פ שהוא כבר טמא, אין ההזאה מוסיפה עליו טומאה, וע"ש שפי' הגמ' עוד בע"א, ועי' גבו"א שם, נ"מ בכך שאין נוספת עליו טומאת מי חטאת, ועי' מרומי שדה שם.</w:t>
      </w:r>
    </w:p>
  </w:footnote>
  <w:footnote w:id="1149">
    <w:p w14:paraId="0496AC9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1149</w:t>
      </w:r>
      <w:r>
        <w:rPr>
          <w:rFonts w:ascii="David" w:hAnsi="David" w:cs="David"/>
          <w:sz w:val="24"/>
          <w:szCs w:val="24"/>
          <w:rtl/>
        </w:rPr>
        <w:t xml:space="preserve"> </w:t>
      </w:r>
      <w:r>
        <w:rPr>
          <w:rFonts w:ascii="David" w:hAnsi="David" w:cs="David"/>
          <w:color w:val="000000"/>
          <w:sz w:val="18"/>
          <w:szCs w:val="18"/>
          <w:rtl/>
        </w:rPr>
        <w:t>. עי' ציון 1073.</w:t>
      </w:r>
    </w:p>
  </w:footnote>
  <w:footnote w:id="1150">
    <w:p w14:paraId="236732A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1150</w:t>
      </w:r>
      <w:r>
        <w:rPr>
          <w:rFonts w:ascii="David" w:hAnsi="David" w:cs="David"/>
          <w:sz w:val="24"/>
          <w:szCs w:val="24"/>
          <w:rtl/>
        </w:rPr>
        <w:t xml:space="preserve"> </w:t>
      </w:r>
      <w:r>
        <w:rPr>
          <w:rFonts w:ascii="David" w:hAnsi="David" w:cs="David"/>
          <w:color w:val="000000"/>
          <w:sz w:val="18"/>
          <w:szCs w:val="18"/>
          <w:rtl/>
        </w:rPr>
        <w:t>. קהלת ז כג. יומא שם, לד' חכמים דלהלן, ולכאו' אף לר"ע דלהלן, אף זה נכלל בדברי שלמה. ועי' ציון 1165, שי"ס שטעם טהרת המוזה, היא משום שנעשית מצותו, וצ"ב שא"כ אין חידוש במוזה, ואף הנוגע אחר שנעשית מצותו טהור.</w:t>
      </w:r>
    </w:p>
  </w:footnote>
  <w:footnote w:id="1151">
    <w:p w14:paraId="49102E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1151</w:t>
      </w:r>
      <w:r>
        <w:rPr>
          <w:rFonts w:ascii="David" w:hAnsi="David" w:cs="David"/>
          <w:sz w:val="24"/>
          <w:szCs w:val="24"/>
          <w:rtl/>
        </w:rPr>
        <w:t xml:space="preserve"> </w:t>
      </w:r>
      <w:r>
        <w:rPr>
          <w:rFonts w:ascii="David" w:hAnsi="David" w:cs="David"/>
          <w:color w:val="000000"/>
          <w:sz w:val="18"/>
          <w:szCs w:val="18"/>
          <w:rtl/>
        </w:rPr>
        <w:t>. חזו"א פרה סי' טו ס"ק ו, וע"ש שתמה מתוספ' פרה פי"ב לפי' מ"ב שם.</w:t>
      </w:r>
    </w:p>
  </w:footnote>
  <w:footnote w:id="1152">
    <w:p w14:paraId="0CDA96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1152</w:t>
      </w:r>
      <w:r>
        <w:rPr>
          <w:rFonts w:ascii="David" w:hAnsi="David" w:cs="David"/>
          <w:sz w:val="24"/>
          <w:szCs w:val="24"/>
          <w:rtl/>
        </w:rPr>
        <w:t xml:space="preserve"> </w:t>
      </w:r>
      <w:r>
        <w:rPr>
          <w:rFonts w:ascii="David" w:hAnsi="David" w:cs="David"/>
          <w:color w:val="000000"/>
          <w:sz w:val="18"/>
          <w:szCs w:val="18"/>
          <w:rtl/>
        </w:rPr>
        <w:t>. ברייתא יומא וגמ' שם, ועי' ציון 1205, שי"מ שהברייתא אינה על המוזה, והגמ' היא שלמדה ממנה לענין מוזה. וצ"ב אם הכונה לטומאה מחודשת (וכ"נ בגבו"א שם, וכ"כ בדברי יחזקאל סי' יד אות ד, וכ' שמטעם זה מטמא בגדים, ושאחר שנגע במים לא נטמא, משום שנפסלו מחמת טומאת המזה, עי' ציון הנ"ל, ועי' ציון 1410 ואילך), או שטומאתו מחמת שנגע במי חטאת, עי' ציון 1162, ונ"מ אם יטמא אף כשהוא טהור לחטאת, לראשונים שבציון 1211, ועי' להלן. ועי' ציון 1167, שי"ס שכשגזרו חכמים טומאה, טהור אף לר"ע. ועי' ירושלמי יומא פ"א ה"א וב, וסמ"ג עשין רלב ותו"י שם ב ב וקה"ע ושי"ק ופ"מ ומרה"פ ונוע"י ותוס' הרי"ד שם ה"א וקה"ע ופ"מ ורידב"ז ותוס' הרי"ד שם ה"ב ושיח יצחק שם יד א ויפה עינים שם ח א ודברי יחזקאל שם אות ז ויב ואילך ושרשי הי"ם עבודת יוה"כ פ"א ה"ד בביאורו.</w:t>
      </w:r>
    </w:p>
  </w:footnote>
  <w:footnote w:id="1153">
    <w:p w14:paraId="38D28A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1153</w:t>
      </w:r>
      <w:r>
        <w:rPr>
          <w:rFonts w:ascii="David" w:hAnsi="David" w:cs="David"/>
          <w:sz w:val="24"/>
          <w:szCs w:val="24"/>
          <w:rtl/>
        </w:rPr>
        <w:t xml:space="preserve"> </w:t>
      </w:r>
      <w:r>
        <w:rPr>
          <w:rFonts w:ascii="David" w:hAnsi="David" w:cs="David"/>
          <w:color w:val="000000"/>
          <w:sz w:val="18"/>
          <w:szCs w:val="18"/>
          <w:rtl/>
        </w:rPr>
        <w:t>. במדבר יט יט.</w:t>
      </w:r>
    </w:p>
  </w:footnote>
  <w:footnote w:id="1154">
    <w:p w14:paraId="001D86B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1154</w:t>
      </w:r>
      <w:r>
        <w:rPr>
          <w:rFonts w:ascii="David" w:hAnsi="David" w:cs="David"/>
          <w:sz w:val="24"/>
          <w:szCs w:val="24"/>
          <w:rtl/>
        </w:rPr>
        <w:t xml:space="preserve"> </w:t>
      </w:r>
      <w:r>
        <w:rPr>
          <w:rFonts w:ascii="David" w:hAnsi="David" w:cs="David"/>
          <w:color w:val="000000"/>
          <w:sz w:val="18"/>
          <w:szCs w:val="18"/>
          <w:rtl/>
        </w:rPr>
        <w:t>. גמ' יומא שם.</w:t>
      </w:r>
    </w:p>
  </w:footnote>
  <w:footnote w:id="1155">
    <w:p w14:paraId="07C65C8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1155</w:t>
      </w:r>
      <w:r>
        <w:rPr>
          <w:rFonts w:ascii="David" w:hAnsi="David" w:cs="David"/>
          <w:sz w:val="24"/>
          <w:szCs w:val="24"/>
          <w:rtl/>
        </w:rPr>
        <w:t xml:space="preserve"> </w:t>
      </w:r>
      <w:r>
        <w:rPr>
          <w:rFonts w:ascii="David" w:hAnsi="David" w:cs="David"/>
          <w:color w:val="000000"/>
          <w:sz w:val="18"/>
          <w:szCs w:val="18"/>
          <w:rtl/>
        </w:rPr>
        <w:t>. ברייתא שם. ועי' ציון 1087, שהמזה על הטמא נשאר בטהרתו.</w:t>
      </w:r>
    </w:p>
  </w:footnote>
  <w:footnote w:id="1156">
    <w:p w14:paraId="5FD92B9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1156</w:t>
      </w:r>
      <w:r>
        <w:rPr>
          <w:rFonts w:ascii="David" w:hAnsi="David" w:cs="David"/>
          <w:sz w:val="24"/>
          <w:szCs w:val="24"/>
          <w:rtl/>
        </w:rPr>
        <w:t xml:space="preserve"> </w:t>
      </w:r>
      <w:r>
        <w:rPr>
          <w:rFonts w:ascii="David" w:hAnsi="David" w:cs="David"/>
          <w:color w:val="000000"/>
          <w:sz w:val="18"/>
          <w:szCs w:val="18"/>
          <w:rtl/>
        </w:rPr>
        <w:t>. עי' ציון 1160.</w:t>
      </w:r>
    </w:p>
  </w:footnote>
  <w:footnote w:id="1157">
    <w:p w14:paraId="2969578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1157</w:t>
      </w:r>
      <w:r>
        <w:rPr>
          <w:rFonts w:ascii="David" w:hAnsi="David" w:cs="David"/>
          <w:sz w:val="24"/>
          <w:szCs w:val="24"/>
          <w:rtl/>
        </w:rPr>
        <w:t xml:space="preserve"> </w:t>
      </w:r>
      <w:r>
        <w:rPr>
          <w:rFonts w:ascii="David" w:hAnsi="David" w:cs="David"/>
          <w:color w:val="000000"/>
          <w:sz w:val="18"/>
          <w:szCs w:val="18"/>
          <w:rtl/>
        </w:rPr>
        <w:t>. יומא שם, ועי' ציון 1150.</w:t>
      </w:r>
    </w:p>
  </w:footnote>
  <w:footnote w:id="1158">
    <w:p w14:paraId="495066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1158</w:t>
      </w:r>
      <w:r>
        <w:rPr>
          <w:rFonts w:ascii="David" w:hAnsi="David" w:cs="David"/>
          <w:sz w:val="24"/>
          <w:szCs w:val="24"/>
          <w:rtl/>
        </w:rPr>
        <w:t xml:space="preserve"> </w:t>
      </w:r>
      <w:r>
        <w:rPr>
          <w:rFonts w:ascii="David" w:hAnsi="David" w:cs="David"/>
          <w:color w:val="000000"/>
          <w:sz w:val="18"/>
          <w:szCs w:val="18"/>
          <w:rtl/>
        </w:rPr>
        <w:t>. עי' רמב"ם עבודת יוה"כ שם ה"ד וה, וע"ש פרה פט"ו ה"א, ושיח יצחק יומא שם וחזו"א פרה סי' ו סוס"ק ז (הב') ואו"ח סי' קכו ס"ק יב, ועי' ציון 1394, ועי' עמק הנצי"ב חוקת עמ' קצד, לשיטתו להלן, ועי' שרשי הי"ם עבודת יוה"כ שם; מאירי שם.</w:t>
      </w:r>
    </w:p>
  </w:footnote>
  <w:footnote w:id="1159">
    <w:p w14:paraId="2C7587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1159</w:t>
      </w:r>
      <w:r>
        <w:rPr>
          <w:rFonts w:ascii="David" w:hAnsi="David" w:cs="David"/>
          <w:sz w:val="24"/>
          <w:szCs w:val="24"/>
          <w:rtl/>
        </w:rPr>
        <w:t xml:space="preserve"> </w:t>
      </w:r>
      <w:r>
        <w:rPr>
          <w:rFonts w:ascii="David" w:hAnsi="David" w:cs="David"/>
          <w:color w:val="000000"/>
          <w:sz w:val="18"/>
          <w:szCs w:val="18"/>
          <w:rtl/>
        </w:rPr>
        <w:t>. עי' ברייתא וגמ' שם, ועי' לעיל, ועי' להלן שי"מ בע"א. ועי' ציון 1166 ואילך, האם כ"ה אף שלא לצורך כלל. ועי' ר"ש פרה פי"ב מ"ג, שכ"ד משנה שם. ועי' עמק הנצי"ב שם, שלמסקנת הסוגיא ביומא, אף לחכמים טמא.</w:t>
      </w:r>
    </w:p>
  </w:footnote>
  <w:footnote w:id="1160">
    <w:p w14:paraId="33E51C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1160</w:t>
      </w:r>
      <w:r>
        <w:rPr>
          <w:rFonts w:ascii="David" w:hAnsi="David" w:cs="David"/>
          <w:sz w:val="24"/>
          <w:szCs w:val="24"/>
          <w:rtl/>
        </w:rPr>
        <w:t xml:space="preserve"> </w:t>
      </w:r>
      <w:r>
        <w:rPr>
          <w:rFonts w:ascii="David" w:hAnsi="David" w:cs="David"/>
          <w:color w:val="000000"/>
          <w:sz w:val="18"/>
          <w:szCs w:val="18"/>
          <w:rtl/>
        </w:rPr>
        <w:t>. גמ' שם, ועי' פתחי נדה נדה ט א, בטעם שאין אומרים דיו לטהור שיהיה כטמא שצריך הערב שמש. ועי' ציונים 1150, 1175, על מה לדעתם אמר שלמה: אמרתי אחכמה וגו'. והיינו שאע"פ שהדין הוא שלא נטמא ע"י הזאה, או צורך הזאה, עי' ציון 1172, אף הזאה על טהור חשובה הזאה, ועי' ציונים 1189, 1203, ועי' עמק הנצי"ב שם, בטעם שאין לומר שדוקא בטמא טיהרו משום צורך מצוה.</w:t>
      </w:r>
    </w:p>
  </w:footnote>
  <w:footnote w:id="1161">
    <w:p w14:paraId="779568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1161</w:t>
      </w:r>
      <w:r>
        <w:rPr>
          <w:rFonts w:ascii="David" w:hAnsi="David" w:cs="David"/>
          <w:sz w:val="24"/>
          <w:szCs w:val="24"/>
          <w:rtl/>
        </w:rPr>
        <w:t xml:space="preserve"> </w:t>
      </w:r>
      <w:r>
        <w:rPr>
          <w:rFonts w:ascii="David" w:hAnsi="David" w:cs="David"/>
          <w:color w:val="000000"/>
          <w:sz w:val="18"/>
          <w:szCs w:val="18"/>
          <w:rtl/>
        </w:rPr>
        <w:t>. ציון 377 ואילך, ועי' להלן ציון 1187 ואילך.</w:t>
      </w:r>
    </w:p>
  </w:footnote>
  <w:footnote w:id="1162">
    <w:p w14:paraId="39E833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1162</w:t>
      </w:r>
      <w:r>
        <w:rPr>
          <w:rFonts w:ascii="David" w:hAnsi="David" w:cs="David"/>
          <w:sz w:val="24"/>
          <w:szCs w:val="24"/>
          <w:rtl/>
        </w:rPr>
        <w:t xml:space="preserve"> </w:t>
      </w:r>
      <w:r>
        <w:rPr>
          <w:rFonts w:ascii="David" w:hAnsi="David" w:cs="David"/>
          <w:color w:val="000000"/>
          <w:sz w:val="18"/>
          <w:szCs w:val="18"/>
          <w:rtl/>
        </w:rPr>
        <w:t>. תוס' ר"י הלבן דלהלן. ועי' ציון 1152, אם לר"ע טומאתו מחמת הנגיעה.</w:t>
      </w:r>
    </w:p>
  </w:footnote>
  <w:footnote w:id="1163">
    <w:p w14:paraId="1BFC69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1163</w:t>
      </w:r>
      <w:r>
        <w:rPr>
          <w:rFonts w:ascii="David" w:hAnsi="David" w:cs="David"/>
          <w:sz w:val="24"/>
          <w:szCs w:val="24"/>
          <w:rtl/>
        </w:rPr>
        <w:t xml:space="preserve"> </w:t>
      </w:r>
      <w:r>
        <w:rPr>
          <w:rFonts w:ascii="David" w:hAnsi="David" w:cs="David"/>
          <w:color w:val="000000"/>
          <w:sz w:val="18"/>
          <w:szCs w:val="18"/>
          <w:rtl/>
        </w:rPr>
        <w:t>. תוס' ר"י הלבן שם. ועי' ציון 1172 ואילך, שאף המזה אינו נטמא, אף על פי שנושא המים, ושי"ס שאף במזה על טהור. ועי' מאירי שם: טהור וכו' שנפלה עליו הזאה גמורה אפי' מדעת לא טמאתו שאין זה נקרא מגע, ועי' שפ"א שם ודברי יחזקאל שם אות ה ואילך ואות י, ומ' במאירי שאף שלא מדעת אין נטמא, וצ"ב אם אף בזה חשוב דרך הזאה, ואפשר שהוא דוקא כשנתכוין להזות על אחר, ונפלה על הטהור, ועי' מרכה"מ פרה פט"ו ה"ח ד"ה ולדרך. ועי' גבו"א שם, שהניח בקושיא למה אינו נטמא במגע, ומ' שפי' שהק"ו מועיל שאין טומאה מחודשת מחמת ההזאה, ועי' לעיל, ועי' שיח יצחק שם, ע"פ ל' מאירי שם, שמגע דרך הזאה אינו חשוב מגע. ועי' ציון 1211, שי"ס שטהור לחטאת אינו נטמא במגע מי חטאת, ולדבריהם אפשר שלכן אינו נטמא במגע, ולפ"ז אם אף על פי שאינו טמא מת אינו טהור לחטאת, נטמא, ואפשר שאף ר"י הלבן סובר שטהרו אינו נטמא, אלא שלא נוח לו לומר שכשאין טהור לחטאת יטמא, ולכך הוצרך לומר שלא נטמא כלל במגע.</w:t>
      </w:r>
    </w:p>
  </w:footnote>
  <w:footnote w:id="1164">
    <w:p w14:paraId="3D642D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1164</w:t>
      </w:r>
      <w:r>
        <w:rPr>
          <w:rFonts w:ascii="David" w:hAnsi="David" w:cs="David"/>
          <w:sz w:val="24"/>
          <w:szCs w:val="24"/>
          <w:rtl/>
        </w:rPr>
        <w:t xml:space="preserve"> </w:t>
      </w:r>
      <w:r>
        <w:rPr>
          <w:rFonts w:ascii="David" w:hAnsi="David" w:cs="David"/>
          <w:color w:val="000000"/>
          <w:sz w:val="18"/>
          <w:szCs w:val="18"/>
          <w:rtl/>
        </w:rPr>
        <w:t>. ציון 1190 ואילך, ושם אם כ"ה אף לצורך הזאה על טהור.</w:t>
      </w:r>
    </w:p>
  </w:footnote>
  <w:footnote w:id="1165">
    <w:p w14:paraId="47303B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1165</w:t>
      </w:r>
      <w:r>
        <w:rPr>
          <w:rFonts w:ascii="David" w:hAnsi="David" w:cs="David"/>
          <w:sz w:val="24"/>
          <w:szCs w:val="24"/>
          <w:rtl/>
        </w:rPr>
        <w:t xml:space="preserve"> </w:t>
      </w:r>
      <w:r>
        <w:rPr>
          <w:rFonts w:ascii="David" w:hAnsi="David" w:cs="David"/>
          <w:color w:val="000000"/>
          <w:sz w:val="18"/>
          <w:szCs w:val="18"/>
          <w:rtl/>
        </w:rPr>
        <w:t>. עי' ציון 1365 ואילך. עי' ראשונים ואחרונים שבציון 1410, ועי' ציון 1387 ואילך, שאף האוחז הכלי שהיזו עליו לא נטמא מטעם זה, ואף אם ניתזו המים על אחר אינו נטמא, ולכאו' ה"ה שהמוזה לא נטמא מטעם זה.</w:t>
      </w:r>
    </w:p>
  </w:footnote>
  <w:footnote w:id="1166">
    <w:p w14:paraId="20680D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1166</w:t>
      </w:r>
      <w:r>
        <w:rPr>
          <w:rFonts w:ascii="David" w:hAnsi="David" w:cs="David"/>
          <w:sz w:val="24"/>
          <w:szCs w:val="24"/>
          <w:rtl/>
        </w:rPr>
        <w:t xml:space="preserve"> </w:t>
      </w:r>
      <w:r>
        <w:rPr>
          <w:rFonts w:ascii="David" w:hAnsi="David" w:cs="David"/>
          <w:color w:val="000000"/>
          <w:sz w:val="18"/>
          <w:szCs w:val="18"/>
          <w:rtl/>
        </w:rPr>
        <w:t>. עי' לעיל. שיח יצחק יומא יד א, בד' תוס' ורמב"ם, וכ"ה פשטות הגמ' שם, ועי' להלן; עי' פתחי נדה נדה ט א; דברי יחזקאל סי' יד אות יא; אחרונים דלהלן.</w:t>
      </w:r>
    </w:p>
  </w:footnote>
  <w:footnote w:id="1167">
    <w:p w14:paraId="52D1F3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1167</w:t>
      </w:r>
      <w:r>
        <w:rPr>
          <w:rFonts w:ascii="David" w:hAnsi="David" w:cs="David"/>
          <w:sz w:val="24"/>
          <w:szCs w:val="24"/>
          <w:rtl/>
        </w:rPr>
        <w:t xml:space="preserve"> </w:t>
      </w:r>
      <w:r>
        <w:rPr>
          <w:rFonts w:ascii="David" w:hAnsi="David" w:cs="David"/>
          <w:color w:val="000000"/>
          <w:sz w:val="18"/>
          <w:szCs w:val="18"/>
          <w:rtl/>
        </w:rPr>
        <w:t>. תוס' הרי"ד יומא פ"א ה"ב וחזו"א סוף פרה, בד' מל"מ אבות הטומאות פי"ט סוה"א, שכוונתו לר"ע, ועי' להלן. ועי' ציון ירושלים שם. ועי' נוע"י שם ה"א ודברי יחזקאל שם, שלר"ע בכל אופן טמא, וכן תמה בחזו"א שם, וכ"ה לאחרונים דלהלן. ועי' ציון 1413, שיש שכ' שהמזה על ספק טומאה ברה"ר, חשוב שנעשתה מצותו בודאי, ואפשר שלדעתם ה"ה שלא נטמא המוזה לר"ע.</w:t>
      </w:r>
    </w:p>
  </w:footnote>
  <w:footnote w:id="1168">
    <w:p w14:paraId="5B772A6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1168</w:t>
      </w:r>
      <w:r>
        <w:rPr>
          <w:rFonts w:ascii="David" w:hAnsi="David" w:cs="David"/>
          <w:sz w:val="24"/>
          <w:szCs w:val="24"/>
          <w:rtl/>
        </w:rPr>
        <w:t xml:space="preserve"> </w:t>
      </w:r>
      <w:r>
        <w:rPr>
          <w:rFonts w:ascii="David" w:hAnsi="David" w:cs="David"/>
          <w:color w:val="000000"/>
          <w:sz w:val="18"/>
          <w:szCs w:val="18"/>
          <w:rtl/>
        </w:rPr>
        <w:t>. עי' יפה עינים יומא ח א ונוע"י שם וחס"ד טהרות פ"ו סוה"ג, בד' מל"מ שם, וכ"נ בשעה"מ מקואות כלל ה בדעתו, ועי' להלן. ועי' יפה עינים שם, בד' הירו', שאם מדבריהם עשאוהו כספק טמא, חשוב לצורך, ואם הוא לצורך קדושה ולא משום ספק טומאה, אינו חשוב צורך, ועי' נוע"י שם, להיפך. ועי' דברי יחזקאל שם, שתמה.</w:t>
      </w:r>
    </w:p>
  </w:footnote>
  <w:footnote w:id="1169">
    <w:p w14:paraId="05A26E0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1169</w:t>
      </w:r>
      <w:r>
        <w:rPr>
          <w:rFonts w:ascii="David" w:hAnsi="David" w:cs="David"/>
          <w:sz w:val="24"/>
          <w:szCs w:val="24"/>
          <w:rtl/>
        </w:rPr>
        <w:t xml:space="preserve"> </w:t>
      </w:r>
      <w:r>
        <w:rPr>
          <w:rFonts w:ascii="David" w:hAnsi="David" w:cs="David"/>
          <w:color w:val="000000"/>
          <w:sz w:val="18"/>
          <w:szCs w:val="18"/>
          <w:rtl/>
        </w:rPr>
        <w:t>. עי' מל"מ שם, בב' שבילים, וחס"ד שם, בתקנות נוספות.</w:t>
      </w:r>
    </w:p>
  </w:footnote>
  <w:footnote w:id="1170">
    <w:p w14:paraId="436427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1170</w:t>
      </w:r>
      <w:r>
        <w:rPr>
          <w:rFonts w:ascii="David" w:hAnsi="David" w:cs="David"/>
          <w:sz w:val="24"/>
          <w:szCs w:val="24"/>
          <w:rtl/>
        </w:rPr>
        <w:t xml:space="preserve"> </w:t>
      </w:r>
      <w:r>
        <w:rPr>
          <w:rFonts w:ascii="David" w:hAnsi="David" w:cs="David"/>
          <w:color w:val="000000"/>
          <w:sz w:val="18"/>
          <w:szCs w:val="18"/>
          <w:rtl/>
        </w:rPr>
        <w:t>. אחרונים שבציון 1392.</w:t>
      </w:r>
    </w:p>
  </w:footnote>
  <w:footnote w:id="1171">
    <w:p w14:paraId="743C4C5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1171</w:t>
      </w:r>
      <w:r>
        <w:rPr>
          <w:rFonts w:ascii="David" w:hAnsi="David" w:cs="David"/>
          <w:sz w:val="24"/>
          <w:szCs w:val="24"/>
          <w:rtl/>
        </w:rPr>
        <w:t xml:space="preserve"> </w:t>
      </w:r>
      <w:r>
        <w:rPr>
          <w:rFonts w:ascii="David" w:hAnsi="David" w:cs="David"/>
          <w:color w:val="000000"/>
          <w:sz w:val="18"/>
          <w:szCs w:val="18"/>
          <w:rtl/>
        </w:rPr>
        <w:t>. ציון 1394.</w:t>
      </w:r>
    </w:p>
  </w:footnote>
  <w:footnote w:id="1172">
    <w:p w14:paraId="484954C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1172</w:t>
      </w:r>
      <w:r>
        <w:rPr>
          <w:rFonts w:ascii="David" w:hAnsi="David" w:cs="David"/>
          <w:sz w:val="24"/>
          <w:szCs w:val="24"/>
          <w:rtl/>
        </w:rPr>
        <w:t xml:space="preserve"> </w:t>
      </w:r>
      <w:r>
        <w:rPr>
          <w:rFonts w:ascii="David" w:hAnsi="David" w:cs="David"/>
          <w:color w:val="000000"/>
          <w:sz w:val="18"/>
          <w:szCs w:val="18"/>
          <w:rtl/>
        </w:rPr>
        <w:t>. יומא יד א ונדה ט א, ועי' ציון 1083, ועי' להלן. ומ' שכ"ה אף כשנגע במים בשעת הזאה. ועי' ציון 1396, שאין נטמא אף אחר ההזאה. ועי' מק"ד טהרות סי' נא אות ד, שהוכיח שאף האזוב שמזה בו לא נטמא, והק' שבר"ש לא מ' כן.</w:t>
      </w:r>
    </w:p>
  </w:footnote>
  <w:footnote w:id="1173">
    <w:p w14:paraId="404773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1173</w:t>
      </w:r>
      <w:r>
        <w:rPr>
          <w:rFonts w:ascii="David" w:hAnsi="David" w:cs="David"/>
          <w:sz w:val="24"/>
          <w:szCs w:val="24"/>
          <w:rtl/>
        </w:rPr>
        <w:t xml:space="preserve"> </w:t>
      </w:r>
      <w:r>
        <w:rPr>
          <w:rFonts w:ascii="David" w:hAnsi="David" w:cs="David"/>
          <w:color w:val="000000"/>
          <w:sz w:val="18"/>
          <w:szCs w:val="18"/>
          <w:rtl/>
        </w:rPr>
        <w:t>. ציון 1087 ואילך. וע"ש שמחלק מהמקורות יש ללמוד אף שאינו טמא מדין נושא, ולפ"ז הטעם דלהלן הוא לפרש טעם הכתוב, ועי' ציון 1178.</w:t>
      </w:r>
    </w:p>
  </w:footnote>
  <w:footnote w:id="1174">
    <w:p w14:paraId="10332B5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1174</w:t>
      </w:r>
      <w:r>
        <w:rPr>
          <w:rFonts w:ascii="David" w:hAnsi="David" w:cs="David"/>
          <w:sz w:val="24"/>
          <w:szCs w:val="24"/>
          <w:rtl/>
        </w:rPr>
        <w:t xml:space="preserve"> </w:t>
      </w:r>
      <w:r>
        <w:rPr>
          <w:rFonts w:ascii="David" w:hAnsi="David" w:cs="David"/>
          <w:color w:val="000000"/>
          <w:sz w:val="18"/>
          <w:szCs w:val="18"/>
          <w:rtl/>
        </w:rPr>
        <w:t>. עי' ציון 1073 ואילך.</w:t>
      </w:r>
    </w:p>
  </w:footnote>
  <w:footnote w:id="1175">
    <w:p w14:paraId="161259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1175</w:t>
      </w:r>
      <w:r>
        <w:rPr>
          <w:rFonts w:ascii="David" w:hAnsi="David" w:cs="David"/>
          <w:sz w:val="24"/>
          <w:szCs w:val="24"/>
          <w:rtl/>
        </w:rPr>
        <w:t xml:space="preserve"> </w:t>
      </w:r>
      <w:r>
        <w:rPr>
          <w:rFonts w:ascii="David" w:hAnsi="David" w:cs="David"/>
          <w:color w:val="000000"/>
          <w:sz w:val="18"/>
          <w:szCs w:val="18"/>
          <w:rtl/>
        </w:rPr>
        <w:t>. קהלת ז כג. יומא שם, לד' חכמים, עי' ציון 1150.</w:t>
      </w:r>
    </w:p>
  </w:footnote>
  <w:footnote w:id="1176">
    <w:p w14:paraId="58F6283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1176</w:t>
      </w:r>
      <w:r>
        <w:rPr>
          <w:rFonts w:ascii="David" w:hAnsi="David" w:cs="David"/>
          <w:sz w:val="24"/>
          <w:szCs w:val="24"/>
          <w:rtl/>
        </w:rPr>
        <w:t xml:space="preserve"> </w:t>
      </w:r>
      <w:r>
        <w:rPr>
          <w:rFonts w:ascii="David" w:hAnsi="David" w:cs="David"/>
          <w:color w:val="000000"/>
          <w:sz w:val="18"/>
          <w:szCs w:val="18"/>
          <w:rtl/>
        </w:rPr>
        <w:t>. תוספתא פרה פ"ח.</w:t>
      </w:r>
    </w:p>
  </w:footnote>
  <w:footnote w:id="1177">
    <w:p w14:paraId="7671A28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1177</w:t>
      </w:r>
      <w:r>
        <w:rPr>
          <w:rFonts w:ascii="David" w:hAnsi="David" w:cs="David"/>
          <w:sz w:val="24"/>
          <w:szCs w:val="24"/>
          <w:rtl/>
        </w:rPr>
        <w:t xml:space="preserve"> </w:t>
      </w:r>
      <w:r>
        <w:rPr>
          <w:rFonts w:ascii="David" w:hAnsi="David" w:cs="David"/>
          <w:color w:val="000000"/>
          <w:sz w:val="18"/>
          <w:szCs w:val="18"/>
          <w:rtl/>
        </w:rPr>
        <w:t>. עי' ציונים 1081, 1107. עי' פהמ"ש כלים פ"א מ"ב.</w:t>
      </w:r>
    </w:p>
  </w:footnote>
  <w:footnote w:id="1178">
    <w:p w14:paraId="007488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1178</w:t>
      </w:r>
      <w:r>
        <w:rPr>
          <w:rFonts w:ascii="David" w:hAnsi="David" w:cs="David"/>
          <w:sz w:val="24"/>
          <w:szCs w:val="24"/>
          <w:rtl/>
        </w:rPr>
        <w:t xml:space="preserve"> </w:t>
      </w:r>
      <w:r>
        <w:rPr>
          <w:rFonts w:ascii="David" w:hAnsi="David" w:cs="David"/>
          <w:color w:val="000000"/>
          <w:sz w:val="18"/>
          <w:szCs w:val="18"/>
          <w:rtl/>
        </w:rPr>
        <w:t>. עי' להלן. עי' תוס' נדה ט א ד"ה מאי לגי' מהרש"ל, ותי' הב' בתוס' שם; עי' פהמ"ש כלים פ"א מ"ב, ועי' להלן; עי' מאירי יומא יד א ונדה ט א; חזו"א פרה סי' ה ס"ק יב. וצ"ב אם היינו שמהכתוב למדים שמזה אינו נטמא, ומפרשים הטעם משום שהוא צורך, וה"ה שאר צורך, או שאף שאר צורך חשוב "מזה", או שמהכתוב למדים שאינו נטמא מדין מזה, וע"כ שאינו נטמא אף משום מגע ומשא, וע"כ שכשהוא לצורך לא נטמא, או שמסברא כשהוא לצורך אינו נטמא (ועי' ציון 1181), ומהכתוב למדים שאינו נטמא משום מזה, ועי' ציון 1173, ועי' תוס' ומאירי וחזו"א שם, ומרכה"מ פרה פי"ד ה"י בד' ר"ע, ועי' להלן.</w:t>
      </w:r>
    </w:p>
  </w:footnote>
  <w:footnote w:id="1179">
    <w:p w14:paraId="119DF6F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1179</w:t>
      </w:r>
      <w:r>
        <w:rPr>
          <w:rFonts w:ascii="David" w:hAnsi="David" w:cs="David"/>
          <w:sz w:val="24"/>
          <w:szCs w:val="24"/>
          <w:rtl/>
        </w:rPr>
        <w:t xml:space="preserve"> </w:t>
      </w:r>
      <w:r>
        <w:rPr>
          <w:rFonts w:ascii="David" w:hAnsi="David" w:cs="David"/>
          <w:color w:val="000000"/>
          <w:sz w:val="18"/>
          <w:szCs w:val="18"/>
          <w:rtl/>
        </w:rPr>
        <w:t>. עי' רמב"ם דלהלן; עי' מאירי פסחים יז ב; עי' תפא"י פרה פי"א בועז אות יא; עי' מק"ד טהרות סי' נא אות ד; עי' חזו"א שם. ועי' ציון 1076.</w:t>
      </w:r>
    </w:p>
  </w:footnote>
  <w:footnote w:id="1180">
    <w:p w14:paraId="741871B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1180</w:t>
      </w:r>
      <w:r>
        <w:rPr>
          <w:rFonts w:ascii="David" w:hAnsi="David" w:cs="David"/>
          <w:sz w:val="24"/>
          <w:szCs w:val="24"/>
          <w:rtl/>
        </w:rPr>
        <w:t xml:space="preserve"> </w:t>
      </w:r>
      <w:r>
        <w:rPr>
          <w:rFonts w:ascii="David" w:hAnsi="David" w:cs="David"/>
          <w:color w:val="000000"/>
          <w:sz w:val="18"/>
          <w:szCs w:val="18"/>
          <w:rtl/>
        </w:rPr>
        <w:t>. תוס' נדה שם ד"ה נוגע, וע"ש סוד"ה מאי, ועי' פתחי נדה שם, וציון 1197; רמב"ם פרה פט"ו ה"א וסמ"ג עשין רלב, ועי' פהמ"ש כלים שם וציון 1199, ועי' פתחי נדה שם, בד' רמב"ם וסמ"ג שבציון 1090; מאירי שם ושם ושם ועדויות פ"ה מ"ג; ריטב"א יומא שם, וכ"נ בתו"י ותוס' הרא"ש שם, ועי' ציון 1190; פי' ריב"א במדבר יט כא. ועי' חזו"א שם, שהוכיח כן בד' הר"ש והרא"ש, ועי' ר"ש דלהלן, שנ' שכל שהוא לצורך הזאה, חשוב "מזה" וטהור. ועי' דברי יחזקאל ובי"צ שבציון 1136, שפי' כן ד' ירו' שבציון הנ"ל. ועי' מרכה"מ שם, שפי' שכ"ד ר"ע, ועי' ציון 1197. ועי' תפא"י פרה שם, שנ' שאם בשעת מגעו, נגע בכלים שלא לצורך, הם טמאים.</w:t>
      </w:r>
    </w:p>
  </w:footnote>
  <w:footnote w:id="1181">
    <w:p w14:paraId="68D06FB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1181</w:t>
      </w:r>
      <w:r>
        <w:rPr>
          <w:rFonts w:ascii="David" w:hAnsi="David" w:cs="David"/>
          <w:sz w:val="24"/>
          <w:szCs w:val="24"/>
          <w:rtl/>
        </w:rPr>
        <w:t xml:space="preserve"> </w:t>
      </w:r>
      <w:r>
        <w:rPr>
          <w:rFonts w:ascii="David" w:hAnsi="David" w:cs="David"/>
          <w:color w:val="000000"/>
          <w:sz w:val="18"/>
          <w:szCs w:val="18"/>
          <w:rtl/>
        </w:rPr>
        <w:t>. תוס' שם, ועי' מאירי נדה שם: לצורך מצוה, ועי' פתחי נדה שם, שנ' ששייך בזה הק"ו שבציון 1090. ועי' עמק הנצי"ב חוקת עמ' קצד. ועי' לעיל אם הוא סברא בפנ"ע, או נלמד מדין מזה.</w:t>
      </w:r>
    </w:p>
  </w:footnote>
  <w:footnote w:id="1182">
    <w:p w14:paraId="1F5A67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1182</w:t>
      </w:r>
      <w:r>
        <w:rPr>
          <w:rFonts w:ascii="David" w:hAnsi="David" w:cs="David"/>
          <w:sz w:val="24"/>
          <w:szCs w:val="24"/>
          <w:rtl/>
        </w:rPr>
        <w:t xml:space="preserve"> </w:t>
      </w:r>
      <w:r>
        <w:rPr>
          <w:rFonts w:ascii="David" w:hAnsi="David" w:cs="David"/>
          <w:color w:val="000000"/>
          <w:sz w:val="18"/>
          <w:szCs w:val="18"/>
          <w:rtl/>
        </w:rPr>
        <w:t>. מאירי יומא שם, ע"פ פרה פי"ב מ"א, (ועי' ראשונים פרה שם, שנ' שפי' המשנה בע"א), ועי' שרשי הי"ם עבודת יוה"כ פ"א ה"ד, ועי' דברי יחזקאל סי' יד אות י, שהרמב"ם אינו סובר כן, ושצ"ב לפ"ז שקודם שמתחיל להוציא האזוב, ודאי מסיט המים, וע"ש אות יח בד' תוס'. ומ' שהפטור לצורך הוא משום שחשוב "מזה", ולכך הוא דוקא בשעת הזאה. ועי' ציונים 1076 ואילך, 1317.</w:t>
      </w:r>
    </w:p>
  </w:footnote>
  <w:footnote w:id="1183">
    <w:p w14:paraId="6A49C6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1183</w:t>
      </w:r>
      <w:r>
        <w:rPr>
          <w:rFonts w:ascii="David" w:hAnsi="David" w:cs="David"/>
          <w:sz w:val="24"/>
          <w:szCs w:val="24"/>
          <w:rtl/>
        </w:rPr>
        <w:t xml:space="preserve"> </w:t>
      </w:r>
      <w:r>
        <w:rPr>
          <w:rFonts w:ascii="David" w:hAnsi="David" w:cs="David"/>
          <w:color w:val="000000"/>
          <w:sz w:val="18"/>
          <w:szCs w:val="18"/>
          <w:rtl/>
        </w:rPr>
        <w:t>. עי' ציון 1197, שכ"ד הרבה אחרונים, והוכיחו שהתוס' והר"ש סוברים שאף לצורך מטמא, ועי' צל"ח ודברי יחזקאל שבציון הנ"ל, ועי' ציון הנ"ל שי"ח, וכ"ה לד' המאירי שם.</w:t>
      </w:r>
    </w:p>
  </w:footnote>
  <w:footnote w:id="1184">
    <w:p w14:paraId="2B40A4A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1184</w:t>
      </w:r>
      <w:r>
        <w:rPr>
          <w:rFonts w:ascii="David" w:hAnsi="David" w:cs="David"/>
          <w:sz w:val="24"/>
          <w:szCs w:val="24"/>
          <w:rtl/>
        </w:rPr>
        <w:t xml:space="preserve"> </w:t>
      </w:r>
      <w:r>
        <w:rPr>
          <w:rFonts w:ascii="David" w:hAnsi="David" w:cs="David"/>
          <w:color w:val="000000"/>
          <w:sz w:val="18"/>
          <w:szCs w:val="18"/>
          <w:rtl/>
        </w:rPr>
        <w:t>. חזו"א שם סי' יד ס"ק ז, בפי' האחרון בביאור מח' ת"ק ור"מ בתוספ' פי"ב, ועי' ציון 1145. ועי' תפא"י פי"א שם, שאוכלים המיועדים לעוסקים במים, אם נגעו במים חשוב כצורך הזאה.</w:t>
      </w:r>
    </w:p>
  </w:footnote>
  <w:footnote w:id="1185">
    <w:p w14:paraId="69F8E3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1185</w:t>
      </w:r>
      <w:r>
        <w:rPr>
          <w:rFonts w:ascii="David" w:hAnsi="David" w:cs="David"/>
          <w:sz w:val="24"/>
          <w:szCs w:val="24"/>
          <w:rtl/>
        </w:rPr>
        <w:t xml:space="preserve"> </w:t>
      </w:r>
      <w:r>
        <w:rPr>
          <w:rFonts w:ascii="David" w:hAnsi="David" w:cs="David"/>
          <w:color w:val="000000"/>
          <w:sz w:val="18"/>
          <w:szCs w:val="18"/>
          <w:rtl/>
        </w:rPr>
        <w:t>. מק"ד טהרות סי' מח אות א, ועי' ציון 1129.</w:t>
      </w:r>
    </w:p>
  </w:footnote>
  <w:footnote w:id="1186">
    <w:p w14:paraId="0C4E8A5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1186</w:t>
      </w:r>
      <w:r>
        <w:rPr>
          <w:rFonts w:ascii="David" w:hAnsi="David" w:cs="David"/>
          <w:sz w:val="24"/>
          <w:szCs w:val="24"/>
          <w:rtl/>
        </w:rPr>
        <w:t xml:space="preserve"> </w:t>
      </w:r>
      <w:r>
        <w:rPr>
          <w:rFonts w:ascii="David" w:hAnsi="David" w:cs="David"/>
          <w:color w:val="000000"/>
          <w:sz w:val="18"/>
          <w:szCs w:val="18"/>
          <w:rtl/>
        </w:rPr>
        <w:t>. עי' להלן.</w:t>
      </w:r>
    </w:p>
  </w:footnote>
  <w:footnote w:id="1187">
    <w:p w14:paraId="3C1F19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1187</w:t>
      </w:r>
      <w:r>
        <w:rPr>
          <w:rFonts w:ascii="David" w:hAnsi="David" w:cs="David"/>
          <w:sz w:val="24"/>
          <w:szCs w:val="24"/>
          <w:rtl/>
        </w:rPr>
        <w:t xml:space="preserve"> </w:t>
      </w:r>
      <w:r>
        <w:rPr>
          <w:rFonts w:ascii="David" w:hAnsi="David" w:cs="David"/>
          <w:color w:val="000000"/>
          <w:sz w:val="18"/>
          <w:szCs w:val="18"/>
          <w:rtl/>
        </w:rPr>
        <w:t>. פרה שם מ"ג, לגי' ר"ח יומא שם, אבל הגי' לפנינו בפרה ויומא שם, וכן גי' רש"י שם בע"א, ועי' להלן וציון 82, וע' הזאה (ב) ציון 385, הדין והטעם לגי' זו, ועי' בהגר"א לתוספ' שם פי"ב, שמ' שטעם הפסול משום שהיזה על דבר שאין ראוי, (אבל אולי כוונתו מחמת שנעשתה בהם מלאכה, עי' רש"י יומא שבציון 82, או מחמת שנטמאו, עי' להלן), ועי' רמב"ם פרה פ"י ה"ח ופט"ו ה"א ופהמ"ש ורע"ב שם שגורסים כרש"י, ומפרשים כעין הר"ח, (ועי' רמב"ם פט"ו ופהמ"ש שם, שמ' קצת שאדם טהור דינו כבהמה, ועי' מים טהורים שם, שאין כוונתו לזה), ועי' להלן, ועי' ר"ש ורא"ש שם וריטב"א יומא שם, שהביאו ב' הגי', ועי' להלן.</w:t>
      </w:r>
    </w:p>
  </w:footnote>
  <w:footnote w:id="1188">
    <w:p w14:paraId="102FBB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1188</w:t>
      </w:r>
      <w:r>
        <w:rPr>
          <w:rFonts w:ascii="David" w:hAnsi="David" w:cs="David"/>
          <w:sz w:val="24"/>
          <w:szCs w:val="24"/>
          <w:rtl/>
        </w:rPr>
        <w:t xml:space="preserve"> </w:t>
      </w:r>
      <w:r>
        <w:rPr>
          <w:rFonts w:ascii="David" w:hAnsi="David" w:cs="David"/>
          <w:color w:val="000000"/>
          <w:sz w:val="18"/>
          <w:szCs w:val="18"/>
          <w:rtl/>
        </w:rPr>
        <w:t>. ר"ח שם וראשונים דלהלן. ועי' קה"י טהרות סי' לו אות ב, שמה שהוזכר שנפסלו המים שבאזוב בלבד, ולא נפסלו המים שבכלי שהסיטם בטבילתו, היינו כשבשעת הטבילה לא היה בדעתו להזות על בהמה. ועי' פהמ"ש ורע"ב שם, שפי' הטעם בע"א, ע"ע הנ"ל ציון 380 ואילך, ועי' להלן ציון 1193, 1194, בטעם שלדעתם לא נפסל מחמת טומאה. ועי' להלן.</w:t>
      </w:r>
    </w:p>
  </w:footnote>
  <w:footnote w:id="1189">
    <w:p w14:paraId="1225E40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1189</w:t>
      </w:r>
      <w:r>
        <w:rPr>
          <w:rFonts w:ascii="David" w:hAnsi="David" w:cs="David"/>
          <w:sz w:val="24"/>
          <w:szCs w:val="24"/>
          <w:rtl/>
        </w:rPr>
        <w:t xml:space="preserve"> </w:t>
      </w:r>
      <w:r>
        <w:rPr>
          <w:rFonts w:ascii="David" w:hAnsi="David" w:cs="David"/>
          <w:color w:val="000000"/>
          <w:sz w:val="18"/>
          <w:szCs w:val="18"/>
          <w:rtl/>
        </w:rPr>
        <w:t>. ע"ע הנ"ל ציון 377 ואילך, ועי' להלן ציונים 1203 ואילך, 1407.</w:t>
      </w:r>
    </w:p>
  </w:footnote>
  <w:footnote w:id="1190">
    <w:p w14:paraId="52AA22D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1190</w:t>
      </w:r>
      <w:r>
        <w:rPr>
          <w:rFonts w:ascii="David" w:hAnsi="David" w:cs="David"/>
          <w:sz w:val="24"/>
          <w:szCs w:val="24"/>
          <w:rtl/>
        </w:rPr>
        <w:t xml:space="preserve"> </w:t>
      </w:r>
      <w:r>
        <w:rPr>
          <w:rFonts w:ascii="David" w:hAnsi="David" w:cs="David"/>
          <w:color w:val="000000"/>
          <w:sz w:val="18"/>
          <w:szCs w:val="18"/>
          <w:rtl/>
        </w:rPr>
        <w:t>. עי' ר"ש שם, לגי' זו, וע"ש שנ' שהיינו משום שמחמת כוונתו חשוב "מזה", ועי' ציון 1200; ריטב"א שם, וע"ש שנ' שאינו חשוב מזה, אלא צורך הזאה; עי' תו"י ותוס' הרא"ש שם, ומ' שכוונתם שחשוב צורך הזאה. ועי' מרכה"מ שם.</w:t>
      </w:r>
    </w:p>
  </w:footnote>
  <w:footnote w:id="1191">
    <w:p w14:paraId="64071EF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1191</w:t>
      </w:r>
      <w:r>
        <w:rPr>
          <w:rFonts w:ascii="David" w:hAnsi="David" w:cs="David"/>
          <w:sz w:val="24"/>
          <w:szCs w:val="24"/>
          <w:rtl/>
        </w:rPr>
        <w:t xml:space="preserve"> </w:t>
      </w:r>
      <w:r>
        <w:rPr>
          <w:rFonts w:ascii="David" w:hAnsi="David" w:cs="David"/>
          <w:color w:val="000000"/>
          <w:sz w:val="18"/>
          <w:szCs w:val="18"/>
          <w:rtl/>
        </w:rPr>
        <w:t>. עי' ציון 1142 ואילך. ועי' מרכה"מ שם פט"ו ה"ח ועמק הנצי"ב חוקת עמ' קצד וחזו"א שם סי' ה ס"ק יב וסי' ו ס"ק ה וו וז (הא') ד"ה לשם (הא') וד"ה ולגי'. ועי' דברי יחזקאל סי' יד אות יד, שפי' שאע"פ שאינם נטמאים, נפסלים בהתעסקות הטמא (ושם אם כל המים שבכלי נפסלו בכך), וצ"ב שא"כ ק' קו' הראשונים שבציון 1139.</w:t>
      </w:r>
    </w:p>
  </w:footnote>
  <w:footnote w:id="1192">
    <w:p w14:paraId="003CD96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1192</w:t>
      </w:r>
      <w:r>
        <w:rPr>
          <w:rFonts w:ascii="David" w:hAnsi="David" w:cs="David"/>
          <w:sz w:val="24"/>
          <w:szCs w:val="24"/>
          <w:rtl/>
        </w:rPr>
        <w:t xml:space="preserve"> </w:t>
      </w:r>
      <w:r>
        <w:rPr>
          <w:rFonts w:ascii="David" w:hAnsi="David" w:cs="David"/>
          <w:color w:val="000000"/>
          <w:sz w:val="18"/>
          <w:szCs w:val="18"/>
          <w:rtl/>
        </w:rPr>
        <w:t>. עי' ציונים 910, 912. עי' ר"ש שם, וע"ש שאפי' לא נגע ולא נפסלו המים, לדעתו, נפסלה הטבילה, ועי' מרכה"מ ודברי יחזקאל שם וחזו"א שם ושם; עי' תו"י שם; עי' ריטב"א שם לפי' הא'. וע"ש שלפי' זה אף אחרים אינם מזים מהם. ולפ"ז לכאו' אין לו לחזור ולטבול האזוב במים, ולא כפי' הרמב"ם והרע"ב לגירסתם, ועי' ציונים 82, 727, וכ"נ ברא"ש שם, שכ' שינער המים, וצ"ב למה א"צ ניגוב, עי' ציון 758, אבל כשלא נגע עי' ר"ש שם, לכאו' יכול לחזור ולטבול, והמבואר שם שאף המים הנוטפים פסולים, לכאו' הוא דוקא כשנגע.</w:t>
      </w:r>
    </w:p>
  </w:footnote>
  <w:footnote w:id="1193">
    <w:p w14:paraId="396D2A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1193</w:t>
      </w:r>
      <w:r>
        <w:rPr>
          <w:rFonts w:ascii="David" w:hAnsi="David" w:cs="David"/>
          <w:sz w:val="24"/>
          <w:szCs w:val="24"/>
          <w:rtl/>
        </w:rPr>
        <w:t xml:space="preserve"> </w:t>
      </w:r>
      <w:r>
        <w:rPr>
          <w:rFonts w:ascii="David" w:hAnsi="David" w:cs="David"/>
          <w:color w:val="000000"/>
          <w:sz w:val="18"/>
          <w:szCs w:val="18"/>
          <w:rtl/>
        </w:rPr>
        <w:t>. ע"ע הזאה (ב) ציון 417 ואילך. ריטב"א שם לפי' הב', וע"ש שלפי"ז דוקא הוא אינו מזה, ועי' דברי יחזקאל שם ולעיל ציון 1143, ועי' תו"י שם. ועי' מים טהורים פרה שם, שפי' כן ד' רמב"ם ורע"ב שבציון 1188, וכן נקט בדברי יחזקאל שם אות יב, ועי' חזו"א או"ח סי' קכו ס"ק יב, ושם בד' תוס', ועי' ציון הבא.</w:t>
      </w:r>
    </w:p>
  </w:footnote>
  <w:footnote w:id="1194">
    <w:p w14:paraId="2BF7A7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1194</w:t>
      </w:r>
      <w:r>
        <w:rPr>
          <w:rFonts w:ascii="David" w:hAnsi="David" w:cs="David"/>
          <w:sz w:val="24"/>
          <w:szCs w:val="24"/>
          <w:rtl/>
        </w:rPr>
        <w:t xml:space="preserve"> </w:t>
      </w:r>
      <w:r>
        <w:rPr>
          <w:rFonts w:ascii="David" w:hAnsi="David" w:cs="David"/>
          <w:color w:val="000000"/>
          <w:sz w:val="18"/>
          <w:szCs w:val="18"/>
          <w:rtl/>
        </w:rPr>
        <w:t>. עי' תו"י שם, לגי' שלפנינו, למפרשים שהפסול משום מלאכה, עי' ציון 82, (וי"ל כן אף לד' הרמב"ם והרע"ב שבציון הנ"ל, וכ"נ במרכה"מ שם, ועי' ציון הקודם), שלכך לא פסלו משום טומאת הנושא, בין בנתכוין להזות על האדם בין בנתכוין להזות על הבהמה, ועי' תוס' הרא"ש שם וחזו"א שם, ועי' ציון 1200. ועי' מים טהורים שם, שתמה שכיון שההזאה על האדם פסולה, למה חשוב צורך. ועי' עמק הנצי"ב חוקת עמ' קצד בד' הרמב"ם, שהוא משום שלשיטתו הטהור לחטאת אינו נטמא, עי' ציון 1211 ואילך, ואפשר עוד שהם סוברים שאין מי חטאת מטמאים לחטאת, עי' ציון 1136 ואילך.</w:t>
      </w:r>
    </w:p>
  </w:footnote>
  <w:footnote w:id="1195">
    <w:p w14:paraId="56D1DB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1195</w:t>
      </w:r>
      <w:r>
        <w:rPr>
          <w:rFonts w:ascii="David" w:hAnsi="David" w:cs="David"/>
          <w:sz w:val="24"/>
          <w:szCs w:val="24"/>
          <w:rtl/>
        </w:rPr>
        <w:t xml:space="preserve"> </w:t>
      </w:r>
      <w:r>
        <w:rPr>
          <w:rFonts w:ascii="David" w:hAnsi="David" w:cs="David"/>
          <w:color w:val="000000"/>
          <w:sz w:val="18"/>
          <w:szCs w:val="18"/>
          <w:rtl/>
        </w:rPr>
        <w:t>. עי' ציון 1288.</w:t>
      </w:r>
    </w:p>
  </w:footnote>
  <w:footnote w:id="1196">
    <w:p w14:paraId="4BE61A4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1196</w:t>
      </w:r>
      <w:r>
        <w:rPr>
          <w:rFonts w:ascii="David" w:hAnsi="David" w:cs="David"/>
          <w:sz w:val="24"/>
          <w:szCs w:val="24"/>
          <w:rtl/>
        </w:rPr>
        <w:t xml:space="preserve"> </w:t>
      </w:r>
      <w:r>
        <w:rPr>
          <w:rFonts w:ascii="David" w:hAnsi="David" w:cs="David"/>
          <w:color w:val="000000"/>
          <w:sz w:val="18"/>
          <w:szCs w:val="18"/>
          <w:rtl/>
        </w:rPr>
        <w:t>. משנ"א פרה פ"ט מ"ח, בביאור משנה שם שמים שנפסלו אינם מטמאים את הטהור, לשיטת רמב"ם שם ה"ב שהיינו בפסולים מדרבנן (ועי' ציון 1288), לביאורו בדעתו, שהיינו מפני שהוא לצורך הזאה, עי' ציון 1220, שאע"פ שנפסלו, מדובר באופן שטעה ונתכוין להזות. ועי' ציון הנ"ל. ועי' משנ"א שם שפי' עוד באופ"א, ועי' ציון 1289 שי"מ בע"א.</w:t>
      </w:r>
    </w:p>
  </w:footnote>
  <w:footnote w:id="1197">
    <w:p w14:paraId="558BBF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1197</w:t>
      </w:r>
      <w:r>
        <w:rPr>
          <w:rFonts w:ascii="David" w:hAnsi="David" w:cs="David"/>
          <w:sz w:val="24"/>
          <w:szCs w:val="24"/>
          <w:rtl/>
        </w:rPr>
        <w:t xml:space="preserve"> </w:t>
      </w:r>
      <w:r>
        <w:rPr>
          <w:rFonts w:ascii="David" w:hAnsi="David" w:cs="David"/>
          <w:color w:val="000000"/>
          <w:sz w:val="18"/>
          <w:szCs w:val="18"/>
          <w:rtl/>
        </w:rPr>
        <w:t>. עי' רא"ש פרה פ"ח מ"ב וחי' הגר"א וא"ר שם פ"ט מ"ח, שהטעם שמזה אינו מטמא, הוא משום שלשיטתם מי חטאת אינם מטמאים את הטהור לחטאת, עי' ציון 1211, ועי' גר"א שם ושם, שמה שאמרו מזה אינו בדוקא, אלא ראוי להזאה, וסתם מזה טהור לחטאת, ונושא טמא; עי' משנ"א שם פ"ט מ"ח וכלים פ"א מ"ב וקה"י טהרות סי' לו אות ב, בד' ר"ש פרה פ"ח מ"ב, שדן בנושא את המים למה אינו נטמא וחוזרים ונטמאים ממנו (ועי' משנ"א שם, שכ"ה בירו' שבציון 1136), ומ' שאע"פ שנושא לצורך נטמא, וכעי"ז בבית דוד כלים שם ופרה פ"י מ"ו, ועי' שושנים לדוד שם ושם, הובא בתוס' אנ"ש כלים שם, שאין בר דעת הסובר שנטמא, ועי' רש"ש פ"ט שם, ועי' חזו"א פרה סי' ה ס"ק יב שדחה, שכוונת הר"ש שא"א שלא ישא שלא לצורך, ועי' מרכה"מ פרה פי"ג ה"ג, שמ' שד' הר"ש שנשיאת הצלוחית אינה חשובה צורך הזאה, ועי' קה"י שם סי' לז אות ה, ועי' ציון 1183, ועי' חזו"א סי' יד ס"ק ז. ועי' בית דוד פ"י שם, ומשנ"א פ"ט שם, שכ"מ ל' הר"ש והרע"ב במקומות נוספים, ועי' שושנים לדוד פ"י שם, ועי' לעיל. ועי' מרכה"מ שם פי"ד ה"י, שכ"ה לד' חכמים, ועי' לעיל שלדעתו ר"ע חולק. ועי' תוס' נדה ט א ד"ה מאי, ופתחי נדה שם ויד דוד פסחים סט א ודברי יחזקאל סי' יד אות יח בדעתם, ועי' מהרש"ל נדה שם. ועי' דברי יחזקאל שם, ע"פ תוספ' פרה פי"א. ועי' תוס' פסחים שם ד"ה שמא ותוס' הרשב"א שם וצל"ח ורע"א ואור חדש ויד דוד ורש"ש שם ומרכה"מ שם וחס"ד סוף פרה ומשנ"א פרה פ"י מ"ו ושרשי הי"ם עבודת יוה"כ פ"א ה"ד ומק"ד טהרות סי' נא אות ד ובי"צ או"ח סי' מה אות א ודברי יחזקאל שם אות יז ואילך וקול מבשר ח"ב סי' לז אות ג וחזו"א שם סי' ה ס"ק כח ועבודת לוי מאכ"א פ"ז ה"ג סי' כט, ועי' ציון הנ"ל.</w:t>
      </w:r>
    </w:p>
  </w:footnote>
  <w:footnote w:id="1198">
    <w:p w14:paraId="6D35252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1198</w:t>
      </w:r>
      <w:r>
        <w:rPr>
          <w:rFonts w:ascii="David" w:hAnsi="David" w:cs="David"/>
          <w:sz w:val="24"/>
          <w:szCs w:val="24"/>
          <w:rtl/>
        </w:rPr>
        <w:t xml:space="preserve"> </w:t>
      </w:r>
      <w:r>
        <w:rPr>
          <w:rFonts w:ascii="David" w:hAnsi="David" w:cs="David"/>
          <w:color w:val="000000"/>
          <w:sz w:val="18"/>
          <w:szCs w:val="18"/>
          <w:rtl/>
        </w:rPr>
        <w:t>. עי' נדה שם, ורא"ש ומרכה"מ ועבודת לוי שם, ועי' ר"ש דלהלן. ועי' ציון 1087 ואילך, המקור לכך. ועי' רא"ש שם פ"ח מ"ב, שנ' שאף המזה אינו טהור</w:t>
      </w:r>
    </w:p>
  </w:footnote>
  <w:footnote w:id="1199">
    <w:p w14:paraId="2ADF7C1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1199</w:t>
      </w:r>
      <w:r>
        <w:rPr>
          <w:rFonts w:ascii="David" w:hAnsi="David" w:cs="David"/>
          <w:sz w:val="24"/>
          <w:szCs w:val="24"/>
          <w:rtl/>
        </w:rPr>
        <w:t xml:space="preserve"> </w:t>
      </w:r>
      <w:r>
        <w:rPr>
          <w:rFonts w:ascii="David" w:hAnsi="David" w:cs="David"/>
          <w:color w:val="000000"/>
          <w:sz w:val="18"/>
          <w:szCs w:val="18"/>
          <w:rtl/>
        </w:rPr>
        <w:t>. עי' פהמ"ש כלים פ"א מ"ב, ועי' פתחי נדה שם בדעתו, ועי' ר"ש דלהלן. וכן נקט בחס"ד שם. וכ"מ קצת בתוספ' שבציון 1176, שלא נטהר המזה, אלא מחמת הזאתו.</w:t>
      </w:r>
    </w:p>
  </w:footnote>
  <w:footnote w:id="1200">
    <w:p w14:paraId="5AA89BA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1200</w:t>
      </w:r>
      <w:r>
        <w:rPr>
          <w:rFonts w:ascii="David" w:hAnsi="David" w:cs="David"/>
          <w:sz w:val="24"/>
          <w:szCs w:val="24"/>
          <w:rtl/>
        </w:rPr>
        <w:t xml:space="preserve"> </w:t>
      </w:r>
      <w:r>
        <w:rPr>
          <w:rFonts w:ascii="David" w:hAnsi="David" w:cs="David"/>
          <w:color w:val="000000"/>
          <w:sz w:val="18"/>
          <w:szCs w:val="18"/>
          <w:rtl/>
        </w:rPr>
        <w:t>. עי' ר"ש פרה פי"ב מ"ג, בביאור גי' המשנה שם שלפנינו, והכריע כן, ועי' ציון 1190. ועי' ציון 1203. ועי' כעי"ז בראב"ד פרה פ"י ה"ח, שתלוי בהזאתו לבסוף, אבל לא פי' טעם הפסול כשהיזה על דבר שאינו מק"ט. וכ"ה בבהגר"א שם, לפירושו דלעיל. ועי' חזו"א שם סי' טו ס"ק ט, הטעם שאי"ז תלוי בדין ברירה, ע"ע.</w:t>
      </w:r>
    </w:p>
  </w:footnote>
  <w:footnote w:id="1201">
    <w:p w14:paraId="116753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1201</w:t>
      </w:r>
      <w:r>
        <w:rPr>
          <w:rFonts w:ascii="David" w:hAnsi="David" w:cs="David"/>
          <w:sz w:val="24"/>
          <w:szCs w:val="24"/>
          <w:rtl/>
        </w:rPr>
        <w:t xml:space="preserve"> </w:t>
      </w:r>
      <w:r>
        <w:rPr>
          <w:rFonts w:ascii="David" w:hAnsi="David" w:cs="David"/>
          <w:color w:val="000000"/>
          <w:sz w:val="18"/>
          <w:szCs w:val="18"/>
          <w:rtl/>
        </w:rPr>
        <w:t>. חזו"א שם סי' ו ס"ק ה.</w:t>
      </w:r>
    </w:p>
  </w:footnote>
  <w:footnote w:id="1202">
    <w:p w14:paraId="43F8FBB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1202</w:t>
      </w:r>
      <w:r>
        <w:rPr>
          <w:rFonts w:ascii="David" w:hAnsi="David" w:cs="David"/>
          <w:sz w:val="24"/>
          <w:szCs w:val="24"/>
          <w:rtl/>
        </w:rPr>
        <w:t xml:space="preserve"> </w:t>
      </w:r>
      <w:r>
        <w:rPr>
          <w:rFonts w:ascii="David" w:hAnsi="David" w:cs="David"/>
          <w:color w:val="000000"/>
          <w:sz w:val="18"/>
          <w:szCs w:val="18"/>
          <w:rtl/>
        </w:rPr>
        <w:t>. עי' מל"מ אבות הטומאות פי"ט סוה"א, ועי' ציון 1167 ואילך, ושם על הזאה בספק טומאה; גבו"א יומא יד א; עי' שיח יצחק יומא שם, במגע, ומ' שה"ה במשא אף על פי שהמשא מוכרח לצורך ההזאה; שרשי הי"ם עבודת יוה"כ פ"א ה"ד. ועי' דברי יחזקאל שבציון 1394, לשיטתו בציון הנ"ל.</w:t>
      </w:r>
    </w:p>
  </w:footnote>
  <w:footnote w:id="1203">
    <w:p w14:paraId="41DDFB1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1203</w:t>
      </w:r>
      <w:r>
        <w:rPr>
          <w:rFonts w:ascii="David" w:hAnsi="David" w:cs="David"/>
          <w:sz w:val="24"/>
          <w:szCs w:val="24"/>
          <w:rtl/>
        </w:rPr>
        <w:t xml:space="preserve"> </w:t>
      </w:r>
      <w:r>
        <w:rPr>
          <w:rFonts w:ascii="David" w:hAnsi="David" w:cs="David"/>
          <w:color w:val="000000"/>
          <w:sz w:val="18"/>
          <w:szCs w:val="18"/>
          <w:rtl/>
        </w:rPr>
        <w:t>. עי' ציון 1189. עי' ר"ש פרה פי"ב מ"ג (ועי' ציון 1200), ועי' דברי יחזקאל סי' יד אות יא, שהק' משם על מל"מ הנ"ל; עי' מנחת בכורים נדה ט א; פתחי נדה שם, ושכ"נ בתוס' יומא ונדה שם, וע"ש שנ' שתלוי בתירוצי תוס', ועי' גבו"א שם שתמה על תוס'; חזו"א פרה סי' טו ס"ק ז וסי' ו ס"ק ז (הא') ד"ה והנה, ע"פ הדין שבע' הזאה (ב) ציון 377 ואילך, וצידד שהוא משום ששייכת הזאה לשם מעלה ותוספת טהרה, וע"ש ס"ק ה, שדוקא בהזאה על בהמה נטמא, שאינה הזאה, ועי' להלן ציון 1408 ואילך, לענין נעשית מצותו. ועי' ציון 1205.</w:t>
      </w:r>
    </w:p>
  </w:footnote>
  <w:footnote w:id="1204">
    <w:p w14:paraId="7BF595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1204</w:t>
      </w:r>
      <w:r>
        <w:rPr>
          <w:rFonts w:ascii="David" w:hAnsi="David" w:cs="David"/>
          <w:sz w:val="24"/>
          <w:szCs w:val="24"/>
          <w:rtl/>
        </w:rPr>
        <w:t xml:space="preserve"> </w:t>
      </w:r>
      <w:r>
        <w:rPr>
          <w:rFonts w:ascii="David" w:hAnsi="David" w:cs="David"/>
          <w:color w:val="000000"/>
          <w:sz w:val="18"/>
          <w:szCs w:val="18"/>
          <w:rtl/>
        </w:rPr>
        <w:t>. עי' ציון 1152.</w:t>
      </w:r>
    </w:p>
  </w:footnote>
  <w:footnote w:id="1205">
    <w:p w14:paraId="17798B1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1205</w:t>
      </w:r>
      <w:r>
        <w:rPr>
          <w:rFonts w:ascii="David" w:hAnsi="David" w:cs="David"/>
          <w:sz w:val="24"/>
          <w:szCs w:val="24"/>
          <w:rtl/>
        </w:rPr>
        <w:t xml:space="preserve"> </w:t>
      </w:r>
      <w:r>
        <w:rPr>
          <w:rFonts w:ascii="David" w:hAnsi="David" w:cs="David"/>
          <w:color w:val="000000"/>
          <w:sz w:val="18"/>
          <w:szCs w:val="18"/>
          <w:rtl/>
        </w:rPr>
        <w:t>. ר"ש שם, ועי' מרכה"מ פרה פי"ד ה"י ועמק הנצי"ב חוקת עמ' קצד, שצידדו לומר שבזה הוא שנחלקו ר"ע וחכמים שבציון הנ"ל ואילך. ועי' דברי יחזקאל סי' יד, שהאריך (לסוברים שר"ע חולק בדין זה שהזו עליו), אם ר"ע חולק אף בדין המזה, וע"ש אות ה, שאפשר שהמזה יהיה טהור, כיון שיש להזאה שם הזאה לטמאות המזה (לשיטתו בציון הנ"ל). ועי' ציון הנ"ל, שאם המזה טמא, אין לטמאות המוזה מחמת מגע במים. ועי' חזו"א שם ס"ק ז (הא') ד"ה ר"ש, שמגיה בד' הר"ש, ולדבריו פשוט לר"ש כן, ולא צידד בזה. ועי' חזו"א שם סוס"ק ז (הב'), שנקט שאין לחלק בין המזה למי שמזים עליו.</w:t>
      </w:r>
    </w:p>
  </w:footnote>
  <w:footnote w:id="1206">
    <w:p w14:paraId="2CD9D04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1206</w:t>
      </w:r>
      <w:r>
        <w:rPr>
          <w:rFonts w:ascii="David" w:hAnsi="David" w:cs="David"/>
          <w:sz w:val="24"/>
          <w:szCs w:val="24"/>
          <w:rtl/>
        </w:rPr>
        <w:t xml:space="preserve"> </w:t>
      </w:r>
      <w:r>
        <w:rPr>
          <w:rFonts w:ascii="David" w:hAnsi="David" w:cs="David"/>
          <w:color w:val="000000"/>
          <w:sz w:val="18"/>
          <w:szCs w:val="18"/>
          <w:rtl/>
        </w:rPr>
        <w:t>. משנ"א שם פ"ט מ"ח, ועי' מרכה"מ שם וציון 1394.</w:t>
      </w:r>
    </w:p>
  </w:footnote>
  <w:footnote w:id="1207">
    <w:p w14:paraId="3B18860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1207</w:t>
      </w:r>
      <w:r>
        <w:rPr>
          <w:rFonts w:ascii="David" w:hAnsi="David" w:cs="David"/>
          <w:sz w:val="24"/>
          <w:szCs w:val="24"/>
          <w:rtl/>
        </w:rPr>
        <w:t xml:space="preserve"> </w:t>
      </w:r>
      <w:r>
        <w:rPr>
          <w:rFonts w:ascii="David" w:hAnsi="David" w:cs="David"/>
          <w:color w:val="000000"/>
          <w:sz w:val="18"/>
          <w:szCs w:val="18"/>
          <w:rtl/>
        </w:rPr>
        <w:t>. דברי יחזקאל סי' יד אות ח, וכ"נ בפתחי נדה שם, וכ"נ בראשונים שבציון 1187 ואילך, ועי' פהמ"ש שבציון הנ"ל, ועי' משנ"א שם פי"ב מ"ג, שהיינו כשטעה וסבר שצריך להזות, ועי' 1196. ועי' עמק הנצי"ב חוקת עמ' קצד, שי"ס שאף אם היזה על דבר שאין מק"ט לא נטמא, ולכאו' כוונתו לסוברים שכל הראוי לחטאת אינו נטמא, עי' להלן.</w:t>
      </w:r>
    </w:p>
  </w:footnote>
  <w:footnote w:id="1208">
    <w:p w14:paraId="36DB21B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1208</w:t>
      </w:r>
      <w:r>
        <w:rPr>
          <w:rFonts w:ascii="David" w:hAnsi="David" w:cs="David"/>
          <w:sz w:val="24"/>
          <w:szCs w:val="24"/>
          <w:rtl/>
        </w:rPr>
        <w:t xml:space="preserve"> </w:t>
      </w:r>
      <w:r>
        <w:rPr>
          <w:rFonts w:ascii="David" w:hAnsi="David" w:cs="David"/>
          <w:color w:val="000000"/>
          <w:sz w:val="18"/>
          <w:szCs w:val="18"/>
          <w:rtl/>
        </w:rPr>
        <w:t>. חס"ד סוף פרה, בביאור תוספ' שם, ועי' ציון 1404.</w:t>
      </w:r>
    </w:p>
  </w:footnote>
  <w:footnote w:id="1209">
    <w:p w14:paraId="0FA891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1209</w:t>
      </w:r>
      <w:r>
        <w:rPr>
          <w:rFonts w:ascii="David" w:hAnsi="David" w:cs="David"/>
          <w:sz w:val="24"/>
          <w:szCs w:val="24"/>
          <w:rtl/>
        </w:rPr>
        <w:t xml:space="preserve"> </w:t>
      </w:r>
      <w:r>
        <w:rPr>
          <w:rFonts w:ascii="David" w:hAnsi="David" w:cs="David"/>
          <w:color w:val="000000"/>
          <w:sz w:val="18"/>
          <w:szCs w:val="18"/>
          <w:rtl/>
        </w:rPr>
        <w:t>. ע"ע הזאה (ב) ציון 417, שטמא פסול להזאה. וע"ע מעלות ולעיל ציון 1041, על מעלות שעשו במי חטאת לענין טהרת האדם העוסק בהם.</w:t>
      </w:r>
    </w:p>
  </w:footnote>
  <w:footnote w:id="1210">
    <w:p w14:paraId="50DD85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1210</w:t>
      </w:r>
      <w:r>
        <w:rPr>
          <w:rFonts w:ascii="David" w:hAnsi="David" w:cs="David"/>
          <w:sz w:val="24"/>
          <w:szCs w:val="24"/>
          <w:rtl/>
        </w:rPr>
        <w:t xml:space="preserve"> </w:t>
      </w:r>
      <w:r>
        <w:rPr>
          <w:rFonts w:ascii="David" w:hAnsi="David" w:cs="David"/>
          <w:color w:val="000000"/>
          <w:sz w:val="18"/>
          <w:szCs w:val="18"/>
          <w:rtl/>
        </w:rPr>
        <w:t>. עי' מל"מ פרה פי"ג הי"א בשם ר"י קורקוס (וע"ש שמתחילה צידד לומר שהוא משום שזה חשוב לצורך, ודחה) ותפא"י בועז פרה פי"א אות יא, בד' פהמ"ש שם, ועי' תפא"י שם אות יג; עי' חזו"א פרה סי' יד ס"ק ז וט, שכן מוכח בבהגר"א לתוספתא פרה פי"א. ועי' ציון 1220 שי"מ ד' הראשונים בע"א.</w:t>
      </w:r>
    </w:p>
  </w:footnote>
  <w:footnote w:id="1211">
    <w:p w14:paraId="5D5B8F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1211</w:t>
      </w:r>
      <w:r>
        <w:rPr>
          <w:rFonts w:ascii="David" w:hAnsi="David" w:cs="David"/>
          <w:sz w:val="24"/>
          <w:szCs w:val="24"/>
          <w:rtl/>
        </w:rPr>
        <w:t xml:space="preserve"> </w:t>
      </w:r>
      <w:r>
        <w:rPr>
          <w:rFonts w:ascii="David" w:hAnsi="David" w:cs="David"/>
          <w:color w:val="000000"/>
          <w:sz w:val="18"/>
          <w:szCs w:val="18"/>
          <w:rtl/>
        </w:rPr>
        <w:t>. עי' פהמ"ש לרמב"ם פרה פ"י מ"ו וא"ר שם, בפי' משנה שם, ועי' ציון 1220, שי"מ בע"א; עי' פהמ"ש שם פי"א מ"ג ורא"ש (ועי' ציונים 1142, 1220, ועי' רא"ש שם פ"ח מ"ב, ודברי יחזקאל סי' יד אות ו בדעתו) ורע"ב (ועי' רש"ש פ"י שם בדעתו, ועי' ציון 1217, וצ"ב) וחי' הגר"א וא"ר שם, בפי' משנה שם, ועי' מל"מ שם, ושם בשם ר"י קורקוס (ועי' ציון הנ"ל שכ"כ בד' רמב"ם שם), ותפא"י ומשנ"א שם, שיש שפי' המשנה באופ"א; עי' פהמ"ש שם פ"ט מ"ט, ועי' ציון 1302, ועי' ציון 1220 שי"מ בע"א; עי' רא"ש וחי' הגר"א וא"ר שם מ"ח, בפי' משנה שם, ושאע"פ שהזכירה המשנה מי חטאת שנפסלו, ה"ה בכשרים, ועי' ציונים 1137, 1142, 1274, שי"מ באופ"א; עי' בהגר"א לתוספתא שם פי"א, בפי' תוספ' שם, ועי' ר"ש פי"א שם, ועי' בהגר"א שם פי"ב ה"ב וה"ו. ועי' תפא"י שם בועז אות יא, שנקט שמדרבנן נטמא. ועי' להלן.</w:t>
      </w:r>
    </w:p>
  </w:footnote>
  <w:footnote w:id="1212">
    <w:p w14:paraId="1CAD8A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1212</w:t>
      </w:r>
      <w:r>
        <w:rPr>
          <w:rFonts w:ascii="David" w:hAnsi="David" w:cs="David"/>
          <w:sz w:val="24"/>
          <w:szCs w:val="24"/>
          <w:rtl/>
        </w:rPr>
        <w:t xml:space="preserve"> </w:t>
      </w:r>
      <w:r>
        <w:rPr>
          <w:rFonts w:ascii="David" w:hAnsi="David" w:cs="David"/>
          <w:color w:val="000000"/>
          <w:sz w:val="18"/>
          <w:szCs w:val="18"/>
          <w:rtl/>
        </w:rPr>
        <w:t>. ציונים 404 ואילך, 431, 432 ואילך, 440.</w:t>
      </w:r>
    </w:p>
  </w:footnote>
  <w:footnote w:id="1213">
    <w:p w14:paraId="48AC354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1213</w:t>
      </w:r>
      <w:r>
        <w:rPr>
          <w:rFonts w:ascii="David" w:hAnsi="David" w:cs="David"/>
          <w:sz w:val="24"/>
          <w:szCs w:val="24"/>
          <w:rtl/>
        </w:rPr>
        <w:t xml:space="preserve"> </w:t>
      </w:r>
      <w:r>
        <w:rPr>
          <w:rFonts w:ascii="David" w:hAnsi="David" w:cs="David"/>
          <w:color w:val="000000"/>
          <w:sz w:val="18"/>
          <w:szCs w:val="18"/>
          <w:rtl/>
        </w:rPr>
        <w:t>. עי' להלן. ועי' ציון 1223 ואילך.</w:t>
      </w:r>
    </w:p>
  </w:footnote>
  <w:footnote w:id="1214">
    <w:p w14:paraId="1184C92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1214</w:t>
      </w:r>
      <w:r>
        <w:rPr>
          <w:rFonts w:ascii="David" w:hAnsi="David" w:cs="David"/>
          <w:sz w:val="24"/>
          <w:szCs w:val="24"/>
          <w:rtl/>
        </w:rPr>
        <w:t xml:space="preserve"> </w:t>
      </w:r>
      <w:r>
        <w:rPr>
          <w:rFonts w:ascii="David" w:hAnsi="David" w:cs="David"/>
          <w:color w:val="000000"/>
          <w:sz w:val="18"/>
          <w:szCs w:val="18"/>
          <w:rtl/>
        </w:rPr>
        <w:t>. מרכה"מ שם פי"ד ה"ז; רש"ש פ"י ופי"א שם; חזו"א שם ושם, וע"ש שה"ה אוכלים הטהורים לחטאת נטמאים (ועי' תפא"י שם פי"א בועז אות יא ומק"ד טהרות סי' נא אות ד, שנקטו לא כן, ואפשר שהמק"ד לשיטתו בציון 1220), ודוקא המוכן להשתמש בגופו לחטאת אינו נטמא. ועי' רש"ש וחזו"א שם, שכ"כ ליישב כיצד מצינו לדעה זו מי חטאת מטמאים מה"ת, הרי מה"ת כל שאינו טמא גמור טהור אף לחטאת, עי' ציון 1040, ואינו נטמא לד' זו, ואם הוא כבר טמא לשאר דברים, הרי לא מתחדשת אצלו טומאה בכך (והיינו אף לגר"א שבציון הבא, סו"ס קודם שגזרו חכמים לא שייכת הטומאה מה"ת), ועי' חזו"א שם סי' ה ס"ק יג, ועי' מרכה"מ שם שהק', שאין סברא להעמיד פשטות הכתוב בפסולים, וכ' שנ"מ ג"כ במחו"כ, לסוברים שהוא פסול בפרה, ע"ע מחוסר כפרה ציון 281 ואילך.</w:t>
      </w:r>
    </w:p>
  </w:footnote>
  <w:footnote w:id="1215">
    <w:p w14:paraId="2E248C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1215</w:t>
      </w:r>
      <w:r>
        <w:rPr>
          <w:rFonts w:ascii="David" w:hAnsi="David" w:cs="David"/>
          <w:sz w:val="24"/>
          <w:szCs w:val="24"/>
          <w:rtl/>
        </w:rPr>
        <w:t xml:space="preserve"> </w:t>
      </w:r>
      <w:r>
        <w:rPr>
          <w:rFonts w:ascii="David" w:hAnsi="David" w:cs="David"/>
          <w:color w:val="000000"/>
          <w:sz w:val="18"/>
          <w:szCs w:val="18"/>
          <w:rtl/>
        </w:rPr>
        <w:t>. ע"ע מעלות.</w:t>
      </w:r>
    </w:p>
  </w:footnote>
  <w:footnote w:id="1216">
    <w:p w14:paraId="4B2BBC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1216</w:t>
      </w:r>
      <w:r>
        <w:rPr>
          <w:rFonts w:ascii="David" w:hAnsi="David" w:cs="David"/>
          <w:sz w:val="24"/>
          <w:szCs w:val="24"/>
          <w:rtl/>
        </w:rPr>
        <w:t xml:space="preserve"> </w:t>
      </w:r>
      <w:r>
        <w:rPr>
          <w:rFonts w:ascii="David" w:hAnsi="David" w:cs="David"/>
          <w:color w:val="000000"/>
          <w:sz w:val="18"/>
          <w:szCs w:val="18"/>
          <w:rtl/>
        </w:rPr>
        <w:t>. חי' הגר"א פי"א שם, ע"פ פי' במשנה שם, עי' ציון 1211, שכיון שנטמא מדרבנן בביאת מים שאובים, נעשה טמא מה"ת במגע מי חטאת, וכ"כ מים טהורים פרה שם וחזו"א שם סי' יד ס"ק ט, בד' הגר"א. והיינו שכל שאינו יכול בפועל להזות, אינו עומד להזות ונטמא. ועי' רש"ש פי"א שם, שנקט בד' הגר"א לא כן.</w:t>
      </w:r>
    </w:p>
  </w:footnote>
  <w:footnote w:id="1217">
    <w:p w14:paraId="67F5612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1217</w:t>
      </w:r>
      <w:r>
        <w:rPr>
          <w:rFonts w:ascii="David" w:hAnsi="David" w:cs="David"/>
          <w:sz w:val="24"/>
          <w:szCs w:val="24"/>
          <w:rtl/>
        </w:rPr>
        <w:t xml:space="preserve"> </w:t>
      </w:r>
      <w:r>
        <w:rPr>
          <w:rFonts w:ascii="David" w:hAnsi="David" w:cs="David"/>
          <w:color w:val="000000"/>
          <w:sz w:val="18"/>
          <w:szCs w:val="18"/>
          <w:rtl/>
        </w:rPr>
        <w:t>. עי' ראשונים ואחרונים דלהלן; עי' ראשונים שבציון 1137 ואילך (ושם שכ"ד הרע"ב, ועי' לעיל), שדנו אם מי חטאת מטמאים אף לחטאת, ובטעם שכל נושא מי חטאת אין נטמא מחמתם וחוזר ומטמא את המים; עי' ראשונים שבציון 1188 ואילך, וחזו"א סי' ה שם בדעתם; עי' מל"מ פי"ג שם, ושם בשם ר"י קורקוס, שהרמב"ם שם פי' שלא כ' כדבריו בפהמ"ש פי"א שבציון 1211, ושברמב"ם פרה פט"ו כ' שמטמא אף את הטהור לחטאת, ועי' מרכה"מ פי"ד שם וחזו"א שם ובס"ק טז, שהיינו מרמב"ם שם שבציון 1278 ואילך, שכשנפסלו אין מטמאים את הטהור לחטאת, ומ' שמים כשרים מטמאים, וכעי"ז ברש"ש פ"י שם, ועי' ציונים 1240, 1281, ועי' תפא"י בועז שם פ"י אות יג, שכן מוכח בה"א שם, שהעוסק במים שלא לצורך נטמא, והיינו בטהור ששייך בו לצורך, ועי' עמק הנצי"ב חוקת עמ' קצד, ועי' תפא"י שם פי"א אות יג ומרכה"מ שם, שהרמב"ם בהלכות חזר בו, ועי' חזו"א שם, שט"ס נפלה בפהמ"ש פ"י שם, עי' ציון 1211, ועי' ציון 1220, שי"מ פהמ"ש בע"א. ועי' מרכה"מ שם, שבכס"מ פי"ד שם, מ' שד' הרמב"ם בהלכותיו כדעתו בפהמ"ש, ועי' כס"מ שם ה"י בשם ר"י קורקוס ורש"ש פי"א שם בדעתו, ומל"מ פי"ג שם, בד' כס"מ פי"ג שם, וצ"ב.</w:t>
      </w:r>
    </w:p>
  </w:footnote>
  <w:footnote w:id="1218">
    <w:p w14:paraId="4B9CE69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1218</w:t>
      </w:r>
      <w:r>
        <w:rPr>
          <w:rFonts w:ascii="David" w:hAnsi="David" w:cs="David"/>
          <w:sz w:val="24"/>
          <w:szCs w:val="24"/>
          <w:rtl/>
        </w:rPr>
        <w:t xml:space="preserve"> </w:t>
      </w:r>
      <w:r>
        <w:rPr>
          <w:rFonts w:ascii="David" w:hAnsi="David" w:cs="David"/>
          <w:color w:val="000000"/>
          <w:sz w:val="18"/>
          <w:szCs w:val="18"/>
          <w:rtl/>
        </w:rPr>
        <w:t>. עי' ציון 1211.</w:t>
      </w:r>
    </w:p>
  </w:footnote>
  <w:footnote w:id="1219">
    <w:p w14:paraId="5D47FF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1219</w:t>
      </w:r>
      <w:r>
        <w:rPr>
          <w:rFonts w:ascii="David" w:hAnsi="David" w:cs="David"/>
          <w:sz w:val="24"/>
          <w:szCs w:val="24"/>
          <w:rtl/>
        </w:rPr>
        <w:t xml:space="preserve"> </w:t>
      </w:r>
      <w:r>
        <w:rPr>
          <w:rFonts w:ascii="David" w:hAnsi="David" w:cs="David"/>
          <w:color w:val="000000"/>
          <w:sz w:val="18"/>
          <w:szCs w:val="18"/>
          <w:rtl/>
        </w:rPr>
        <w:t>. עי' ציון 1178 ואילך.</w:t>
      </w:r>
    </w:p>
  </w:footnote>
  <w:footnote w:id="1220">
    <w:p w14:paraId="2E305BB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1220</w:t>
      </w:r>
      <w:r>
        <w:rPr>
          <w:rFonts w:ascii="David" w:hAnsi="David" w:cs="David"/>
          <w:sz w:val="24"/>
          <w:szCs w:val="24"/>
          <w:rtl/>
        </w:rPr>
        <w:t xml:space="preserve"> </w:t>
      </w:r>
      <w:r>
        <w:rPr>
          <w:rFonts w:ascii="David" w:hAnsi="David" w:cs="David"/>
          <w:color w:val="000000"/>
          <w:sz w:val="18"/>
          <w:szCs w:val="18"/>
          <w:rtl/>
        </w:rPr>
        <w:t>. עי' מרכה"מ פי"ד שם ומשנ"א פ"י שם ותפא"י שם פי"א בועז אות יג ודברי יחזקאל שם, בד' פהמ"ש פ"י שם, עי' ציון 1211, (ועי' גי' פהמ"ש שלפנינו: יכוין לחטאת, אבל בכ"מ פרה פי"ד ה"ו: יכון, ובפהמ"ש הנדמ"ח בע"א), וכן מבואר במשנ"א פ"ט שם, בד' רמב"ם בפהמ"ש פ"ט שם, וכן נקט בבית דוד שם פ"י מ"ו, וכן נקט ברע"א שם פי"א אות יב, ופי' ד' הרא"ש שם, לענין שאינו מטמא לחטאת (ועי' ציון 1142), וכן נקט במק"ד שם, ועי' מרכה"מ ותפא"י שם, שלפי"ז אין ד' הרמב"ם סותרים למש"כ בהלכותיו, עי' ציון 1217. ועי' עמק הנצי"ב שם. ועי' דברי יחזקאל שם, שבד' הרא"ש לא כ"כ. ועי' תולדות אדם לספרי חקת סוף פיס' קכט, שמ' שפי' ד' פהמ"ש פ"י שם, שהטהור לחטאת נטמא לשאר דברים ולא לחטאת. ועי' ציון 1196, שי"ס שכל שאינו יודע שנטמא, חשוב לצורך.</w:t>
      </w:r>
    </w:p>
  </w:footnote>
  <w:footnote w:id="1221">
    <w:p w14:paraId="103A5F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1221</w:t>
      </w:r>
      <w:r>
        <w:rPr>
          <w:rFonts w:ascii="David" w:hAnsi="David" w:cs="David"/>
          <w:sz w:val="24"/>
          <w:szCs w:val="24"/>
          <w:rtl/>
        </w:rPr>
        <w:t xml:space="preserve"> </w:t>
      </w:r>
      <w:r>
        <w:rPr>
          <w:rFonts w:ascii="David" w:hAnsi="David" w:cs="David"/>
          <w:color w:val="000000"/>
          <w:sz w:val="18"/>
          <w:szCs w:val="18"/>
          <w:rtl/>
        </w:rPr>
        <w:t>. ציון 1137 ואילך.</w:t>
      </w:r>
    </w:p>
  </w:footnote>
  <w:footnote w:id="1222">
    <w:p w14:paraId="2A7F040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1222</w:t>
      </w:r>
      <w:r>
        <w:rPr>
          <w:rFonts w:ascii="David" w:hAnsi="David" w:cs="David"/>
          <w:sz w:val="24"/>
          <w:szCs w:val="24"/>
          <w:rtl/>
        </w:rPr>
        <w:t xml:space="preserve"> </w:t>
      </w:r>
      <w:r>
        <w:rPr>
          <w:rFonts w:ascii="David" w:hAnsi="David" w:cs="David"/>
          <w:color w:val="000000"/>
          <w:sz w:val="18"/>
          <w:szCs w:val="18"/>
          <w:rtl/>
        </w:rPr>
        <w:t>. במדבר יט כא.</w:t>
      </w:r>
    </w:p>
  </w:footnote>
  <w:footnote w:id="1223">
    <w:p w14:paraId="65C96C5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1223</w:t>
      </w:r>
      <w:r>
        <w:rPr>
          <w:rFonts w:ascii="David" w:hAnsi="David" w:cs="David"/>
          <w:sz w:val="24"/>
          <w:szCs w:val="24"/>
          <w:rtl/>
        </w:rPr>
        <w:t xml:space="preserve"> </w:t>
      </w:r>
      <w:r>
        <w:rPr>
          <w:rFonts w:ascii="David" w:hAnsi="David" w:cs="David"/>
          <w:color w:val="000000"/>
          <w:sz w:val="18"/>
          <w:szCs w:val="18"/>
          <w:rtl/>
        </w:rPr>
        <w:t>. הג' מכ"י ירושלמי דלהלן, וכעי"ז ברבנו הלל ובסד"ר ובהג' בהמ"ח בזרע אברהם לספרי דלהלן ובסד"ט כלים יג א, ועי' להלן. ועי' ציון 1213 ואילך.</w:t>
      </w:r>
    </w:p>
  </w:footnote>
  <w:footnote w:id="1224">
    <w:p w14:paraId="7B4DEE2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1224</w:t>
      </w:r>
      <w:r>
        <w:rPr>
          <w:rFonts w:ascii="David" w:hAnsi="David" w:cs="David"/>
          <w:sz w:val="24"/>
          <w:szCs w:val="24"/>
          <w:rtl/>
        </w:rPr>
        <w:t xml:space="preserve"> </w:t>
      </w:r>
      <w:r>
        <w:rPr>
          <w:rFonts w:ascii="David" w:hAnsi="David" w:cs="David"/>
          <w:color w:val="000000"/>
          <w:sz w:val="18"/>
          <w:szCs w:val="18"/>
          <w:rtl/>
        </w:rPr>
        <w:t>. ספרי חקת פיס' קכט. רבנו הלל שם; הג' מכ"י ירושלמי לספרי שם אות קסט וקע; סד"ר שם; כתר כהונה שם; הג' בהמ"ח בזרע אברהם שם; סד"ט שם.</w:t>
      </w:r>
    </w:p>
  </w:footnote>
  <w:footnote w:id="1225">
    <w:p w14:paraId="77B5BF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1225</w:t>
      </w:r>
      <w:r>
        <w:rPr>
          <w:rFonts w:ascii="David" w:hAnsi="David" w:cs="David"/>
          <w:sz w:val="24"/>
          <w:szCs w:val="24"/>
          <w:rtl/>
        </w:rPr>
        <w:t xml:space="preserve"> </w:t>
      </w:r>
      <w:r>
        <w:rPr>
          <w:rFonts w:ascii="David" w:hAnsi="David" w:cs="David"/>
          <w:color w:val="000000"/>
          <w:sz w:val="18"/>
          <w:szCs w:val="18"/>
          <w:rtl/>
        </w:rPr>
        <w:t>. ציון 1242 ואילך.</w:t>
      </w:r>
    </w:p>
  </w:footnote>
  <w:footnote w:id="1226">
    <w:p w14:paraId="12743B5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1226</w:t>
      </w:r>
      <w:r>
        <w:rPr>
          <w:rFonts w:ascii="David" w:hAnsi="David" w:cs="David"/>
          <w:sz w:val="24"/>
          <w:szCs w:val="24"/>
          <w:rtl/>
        </w:rPr>
        <w:t xml:space="preserve"> </w:t>
      </w:r>
      <w:r>
        <w:rPr>
          <w:rFonts w:ascii="David" w:hAnsi="David" w:cs="David"/>
          <w:color w:val="000000"/>
          <w:sz w:val="18"/>
          <w:szCs w:val="18"/>
          <w:rtl/>
        </w:rPr>
        <w:t>. עי' ר"ש כלים פ"א מ"ד, בביאור תוספתא שם פ"א: מי חטאת יש להן טהרה מטומאתן, שהיינו אף ע"י השקה, וע"ש ובהגר"א וז"ז לתוספ' שם שיש להם טהרה באופנים נוספים, עי' ציונים 1240, 1365, ועי' להלן שי"מ בע"א. וצ"ב אם היינו אף על פי שהם עדיין ראויים להזאה, ואין אומרים שכיון שהם ראויים להזאה זה סיבה שיהיו טמאים, ועי' אב"נ יו"ד סי' רנד אות ה וחזו"א מקואות קמא סי' י ס"ק ד, או שע"י השקה בטל מהם אף שם מי חטאת לענין הזאה, וא"כ מה"ת א"צ לטהרת השקה, כשאר מי חטאת פסולים שלדעתו פקעה טומאתם, עי' ר"ש שם וציון 1240. וצ"ב שלכאו' השקה אינה מועילה אלא לטמאת - משקים (ע"ע), שאינה שייכת במחובר - לקרקע, ע"ע ציון 66, 680, 733, וע' השקה ציון 10 ואילך, וע"ע הנ"ל ציון 89, על השקה במי רגלים של זב, ועי' אב"נ שם ומק"ד טהרות סי' מח אות ב ודובב מישרים ח"א סי' נב אות ב ועבודת לוי בכורות פ"ו ה"ב.</w:t>
      </w:r>
    </w:p>
  </w:footnote>
  <w:footnote w:id="1227">
    <w:p w14:paraId="1014C37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1227</w:t>
      </w:r>
      <w:r>
        <w:rPr>
          <w:rFonts w:ascii="David" w:hAnsi="David" w:cs="David"/>
          <w:sz w:val="24"/>
          <w:szCs w:val="24"/>
          <w:rtl/>
        </w:rPr>
        <w:t xml:space="preserve"> </w:t>
      </w:r>
      <w:r>
        <w:rPr>
          <w:rFonts w:ascii="David" w:hAnsi="David" w:cs="David"/>
          <w:color w:val="000000"/>
          <w:sz w:val="18"/>
          <w:szCs w:val="18"/>
          <w:rtl/>
        </w:rPr>
        <w:t>. עי' ציון 1064.</w:t>
      </w:r>
    </w:p>
  </w:footnote>
  <w:footnote w:id="1228">
    <w:p w14:paraId="079C27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1228</w:t>
      </w:r>
      <w:r>
        <w:rPr>
          <w:rFonts w:ascii="David" w:hAnsi="David" w:cs="David"/>
          <w:sz w:val="24"/>
          <w:szCs w:val="24"/>
          <w:rtl/>
        </w:rPr>
        <w:t xml:space="preserve"> </w:t>
      </w:r>
      <w:r>
        <w:rPr>
          <w:rFonts w:ascii="David" w:hAnsi="David" w:cs="David"/>
          <w:color w:val="000000"/>
          <w:sz w:val="18"/>
          <w:szCs w:val="18"/>
          <w:rtl/>
        </w:rPr>
        <w:t>. חס"ד כלים שם, וע"ש שנ' שכ"כ בד' הר"ש דלעיל, וצ"ב, ועי' ציון 1344.</w:t>
      </w:r>
    </w:p>
  </w:footnote>
  <w:footnote w:id="1229">
    <w:p w14:paraId="0CB13B0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1229</w:t>
      </w:r>
      <w:r>
        <w:rPr>
          <w:rFonts w:ascii="David" w:hAnsi="David" w:cs="David"/>
          <w:sz w:val="24"/>
          <w:szCs w:val="24"/>
          <w:rtl/>
        </w:rPr>
        <w:t xml:space="preserve"> </w:t>
      </w:r>
      <w:r>
        <w:rPr>
          <w:rFonts w:ascii="David" w:hAnsi="David" w:cs="David"/>
          <w:color w:val="000000"/>
          <w:sz w:val="18"/>
          <w:szCs w:val="18"/>
          <w:rtl/>
        </w:rPr>
        <w:t>. ציון הנ"ל.</w:t>
      </w:r>
    </w:p>
  </w:footnote>
  <w:footnote w:id="1230">
    <w:p w14:paraId="063124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1230</w:t>
      </w:r>
      <w:r>
        <w:rPr>
          <w:rFonts w:ascii="David" w:hAnsi="David" w:cs="David"/>
          <w:sz w:val="24"/>
          <w:szCs w:val="24"/>
          <w:rtl/>
        </w:rPr>
        <w:t xml:space="preserve"> </w:t>
      </w:r>
      <w:r>
        <w:rPr>
          <w:rFonts w:ascii="David" w:hAnsi="David" w:cs="David"/>
          <w:color w:val="000000"/>
          <w:sz w:val="18"/>
          <w:szCs w:val="18"/>
          <w:rtl/>
        </w:rPr>
        <w:t>. עי' פרה פ"ט מ"ח ורמב"ם פרה פט"ו ה"ב; עי' להלן. ועי' תוספ' פרה פי"ב, לגי' הגר"א, במים שהיזה מהם על דבר שאינו מק"ט. ועי' ציון 1237.</w:t>
      </w:r>
    </w:p>
  </w:footnote>
  <w:footnote w:id="1231">
    <w:p w14:paraId="26634F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1231</w:t>
      </w:r>
      <w:r>
        <w:rPr>
          <w:rFonts w:ascii="David" w:hAnsi="David" w:cs="David"/>
          <w:sz w:val="24"/>
          <w:szCs w:val="24"/>
          <w:rtl/>
        </w:rPr>
        <w:t xml:space="preserve"> </w:t>
      </w:r>
      <w:r>
        <w:rPr>
          <w:rFonts w:ascii="David" w:hAnsi="David" w:cs="David"/>
          <w:color w:val="000000"/>
          <w:sz w:val="18"/>
          <w:szCs w:val="18"/>
          <w:rtl/>
        </w:rPr>
        <w:t>. פרה שם מ"ה; רמב"ם שם ה"ו. ועי' להלן.</w:t>
      </w:r>
    </w:p>
  </w:footnote>
  <w:footnote w:id="1232">
    <w:p w14:paraId="4AF6570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1232</w:t>
      </w:r>
      <w:r>
        <w:rPr>
          <w:rFonts w:ascii="David" w:hAnsi="David" w:cs="David"/>
          <w:sz w:val="24"/>
          <w:szCs w:val="24"/>
          <w:rtl/>
        </w:rPr>
        <w:t xml:space="preserve"> </w:t>
      </w:r>
      <w:r>
        <w:rPr>
          <w:rFonts w:ascii="David" w:hAnsi="David" w:cs="David"/>
          <w:color w:val="000000"/>
          <w:sz w:val="18"/>
          <w:szCs w:val="18"/>
          <w:rtl/>
        </w:rPr>
        <w:t>. פהמ"ש לרמב"ם שם. ועי' דעת יוסף שם, שתמה לסוברים שטומאתם מדרבנן, למה גזרו גזירה לגזירה.</w:t>
      </w:r>
    </w:p>
  </w:footnote>
  <w:footnote w:id="1233">
    <w:p w14:paraId="67768E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1233</w:t>
      </w:r>
      <w:r>
        <w:rPr>
          <w:rFonts w:ascii="David" w:hAnsi="David" w:cs="David"/>
          <w:sz w:val="24"/>
          <w:szCs w:val="24"/>
          <w:rtl/>
        </w:rPr>
        <w:t xml:space="preserve"> </w:t>
      </w:r>
      <w:r>
        <w:rPr>
          <w:rFonts w:ascii="David" w:hAnsi="David" w:cs="David"/>
          <w:color w:val="000000"/>
          <w:sz w:val="18"/>
          <w:szCs w:val="18"/>
          <w:rtl/>
        </w:rPr>
        <w:t>. ר"ש שם; רא"ש שם. ועי' ציון 1362, שי"ס שאינו מטמא אלא כשיש מים בעין.</w:t>
      </w:r>
    </w:p>
  </w:footnote>
  <w:footnote w:id="1234">
    <w:p w14:paraId="4A4C4D7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1234</w:t>
      </w:r>
      <w:r>
        <w:rPr>
          <w:rFonts w:ascii="David" w:hAnsi="David" w:cs="David"/>
          <w:sz w:val="24"/>
          <w:szCs w:val="24"/>
          <w:rtl/>
        </w:rPr>
        <w:t xml:space="preserve"> </w:t>
      </w:r>
      <w:r>
        <w:rPr>
          <w:rFonts w:ascii="David" w:hAnsi="David" w:cs="David"/>
          <w:color w:val="000000"/>
          <w:sz w:val="18"/>
          <w:szCs w:val="18"/>
          <w:rtl/>
        </w:rPr>
        <w:t>. ציון 1353 ואילך.</w:t>
      </w:r>
    </w:p>
  </w:footnote>
  <w:footnote w:id="1235">
    <w:p w14:paraId="6C4517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1235</w:t>
      </w:r>
      <w:r>
        <w:rPr>
          <w:rFonts w:ascii="David" w:hAnsi="David" w:cs="David"/>
          <w:sz w:val="24"/>
          <w:szCs w:val="24"/>
          <w:rtl/>
        </w:rPr>
        <w:t xml:space="preserve"> </w:t>
      </w:r>
      <w:r>
        <w:rPr>
          <w:rFonts w:ascii="David" w:hAnsi="David" w:cs="David"/>
          <w:color w:val="000000"/>
          <w:sz w:val="18"/>
          <w:szCs w:val="18"/>
          <w:rtl/>
        </w:rPr>
        <w:t>. ציונים 1250 ואילך, 1263, 1305 ואילך, 1329 ואילך, 1353 ואילך, 1361.</w:t>
      </w:r>
    </w:p>
  </w:footnote>
  <w:footnote w:id="1236">
    <w:p w14:paraId="31B14B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1236</w:t>
      </w:r>
      <w:r>
        <w:rPr>
          <w:rFonts w:ascii="David" w:hAnsi="David" w:cs="David"/>
          <w:sz w:val="24"/>
          <w:szCs w:val="24"/>
          <w:rtl/>
        </w:rPr>
        <w:t xml:space="preserve"> </w:t>
      </w:r>
      <w:r>
        <w:rPr>
          <w:rFonts w:ascii="David" w:hAnsi="David" w:cs="David"/>
          <w:color w:val="000000"/>
          <w:sz w:val="18"/>
          <w:szCs w:val="18"/>
          <w:rtl/>
        </w:rPr>
        <w:t>. ציון 1311 ואילך. ועי' ציון 1044 ואילך, שיש בהם אף טומאת משקים הטמאים לחטאת.</w:t>
      </w:r>
    </w:p>
  </w:footnote>
  <w:footnote w:id="1237">
    <w:p w14:paraId="79A0F2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1237</w:t>
      </w:r>
      <w:r>
        <w:rPr>
          <w:rFonts w:ascii="David" w:hAnsi="David" w:cs="David"/>
          <w:sz w:val="24"/>
          <w:szCs w:val="24"/>
          <w:rtl/>
        </w:rPr>
        <w:t xml:space="preserve"> </w:t>
      </w:r>
      <w:r>
        <w:rPr>
          <w:rFonts w:ascii="David" w:hAnsi="David" w:cs="David"/>
          <w:color w:val="000000"/>
          <w:sz w:val="18"/>
          <w:szCs w:val="18"/>
          <w:rtl/>
        </w:rPr>
        <w:t>. משנ"א פרה פ"ט מ"ח, בד' רמב"ם בפהמ"ש בהקדמה לסדר טהרות, שלא מנה מי חטאת שנפסלו בכלל אבות הטומאה מדבריהם המטמאים אדם (אבל למסקנתו שם, אפשר שלד' הרמב"ם כשנפסלו מה"ת אינם מטמאים), ועי' להלן; תולדות אדם לספרי חקת פיס' קכט ושהם וישפה פרה פט"ו ה"ב ודעת יוסף פרה שם מ"ה, בד' רמב"ם שם ה"ו, שבציון 1348, שפי' דין משנה שם שבציון 1231, שהוא משום שדרשו מהכתוב "חטאת היא" שמי חטאת אינם בטלים בטיט, ומ' שמטמאים מה"ת, (ועי' ציון 1289, שמים פסולים שהזכיר הרמב"ם שם ה"ב, היינו בפסולים מה"ת), ועי' רמב"ם שם ה"ז ועי' להלן, ועי' להלן שי"ח בד' הרמב"ם; עי' דעת יוסף שם, בד' א"ר שבציון 1211 (ורא"ש שם, ועי' ראשונים שבציון 1137), שמפרש משנה שם ח אף במים כשרים (ועי' להלן), ולפירושו לא מצינו שחילקו בין כשרים לפסולים, ועי' ציון 1284. ועי' ציון 1283 ואילך. ועי' סד"ט שבציון 1337, שיש לחלק בין מגע למשא.</w:t>
      </w:r>
    </w:p>
  </w:footnote>
  <w:footnote w:id="1238">
    <w:p w14:paraId="2E71C2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1238</w:t>
      </w:r>
      <w:r>
        <w:rPr>
          <w:rFonts w:ascii="David" w:hAnsi="David" w:cs="David"/>
          <w:sz w:val="24"/>
          <w:szCs w:val="24"/>
          <w:rtl/>
        </w:rPr>
        <w:t xml:space="preserve"> </w:t>
      </w:r>
      <w:r>
        <w:rPr>
          <w:rFonts w:ascii="David" w:hAnsi="David" w:cs="David"/>
          <w:color w:val="000000"/>
          <w:sz w:val="18"/>
          <w:szCs w:val="18"/>
          <w:rtl/>
        </w:rPr>
        <w:t>. ספרי שם.</w:t>
      </w:r>
    </w:p>
  </w:footnote>
  <w:footnote w:id="1239">
    <w:p w14:paraId="5D34C9D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1239</w:t>
      </w:r>
      <w:r>
        <w:rPr>
          <w:rFonts w:ascii="David" w:hAnsi="David" w:cs="David"/>
          <w:sz w:val="24"/>
          <w:szCs w:val="24"/>
          <w:rtl/>
        </w:rPr>
        <w:t xml:space="preserve"> </w:t>
      </w:r>
      <w:r>
        <w:rPr>
          <w:rFonts w:ascii="David" w:hAnsi="David" w:cs="David"/>
          <w:color w:val="000000"/>
          <w:sz w:val="18"/>
          <w:szCs w:val="18"/>
          <w:rtl/>
        </w:rPr>
        <w:t>. עי' ציון 1238. עי' זי"ר לספרי שם; זרע אברהם שם; תולדות אדם שם; עי' עמק הנצי"ב שם, וע"ש בטעם שהוצרכו בספרי ללמוד בק"ו שהם מטמאים. ועי' רבנו הלל שם, שי"מ כן ודחה.</w:t>
      </w:r>
    </w:p>
  </w:footnote>
  <w:footnote w:id="1240">
    <w:p w14:paraId="4D31163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1240</w:t>
      </w:r>
      <w:r>
        <w:rPr>
          <w:rFonts w:ascii="David" w:hAnsi="David" w:cs="David"/>
          <w:sz w:val="24"/>
          <w:szCs w:val="24"/>
          <w:rtl/>
        </w:rPr>
        <w:t xml:space="preserve"> </w:t>
      </w:r>
      <w:r>
        <w:rPr>
          <w:rFonts w:ascii="David" w:hAnsi="David" w:cs="David"/>
          <w:color w:val="000000"/>
          <w:sz w:val="18"/>
          <w:szCs w:val="18"/>
          <w:rtl/>
        </w:rPr>
        <w:t>. עי' ראשונים שבציונים 1245, 1334 ואילך, 1372; ר"ש מכ"י שם מ"ח, וכ"נ בר"ש כלים פ"א מ"ד; עי' ראב"ד פרה פי"ד ה"י וכס"מ שם בדעתו; רע"ב פרה שם, לשיטתו בציון 1274, שמפרש משנה שם, שכשנפסלו אינם מטמאים לחולין, וכ"כ חס"ד לתוספתא שם רפ"י, בפי' תוספתא שם שלשיטתו סוברת כן, עי' ציון הנ"ל, ועי' ציון הנ"ל שי"מ המשנה בע"א; כס"מ פרה פט"ו ה"ב, ושם ה"ד בשם ר"י קורקוס, ומרכה"מ שם פי"ד ה"ז ומנ"ח מ' שצט וערה"ש פרה סי' עח ס"ב וחזו"א פרה סי' ה ס"ק יג, בד' רמב"ם שם פט"ו שם, שבציון 1278, שכ' ע"פ משנה שם, שכשנפסלו אינם מטמאים את הטהור לחטאת, ולדעתם כשהם כשרים מטמאים אותו, עי' ציון 1217, ועי' ציון 1372, ועי' לעיל שי"ח בד' הרמב"ם; רש"ש פסחים יח א, בד' תוס' שם. ועי' אהא"ז פסוהמ"ק פ"ב הכ"ב סוד"ה ולפי"ז. ומ' מהל' שטומאה קלה יש בהם, ועי' ציון 1311 ואילך. ועי' ציונים 1249 ואילך, 1272.</w:t>
      </w:r>
    </w:p>
  </w:footnote>
  <w:footnote w:id="1241">
    <w:p w14:paraId="6F2E7A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1241</w:t>
      </w:r>
      <w:r>
        <w:rPr>
          <w:rFonts w:ascii="David" w:hAnsi="David" w:cs="David"/>
          <w:sz w:val="24"/>
          <w:szCs w:val="24"/>
          <w:rtl/>
        </w:rPr>
        <w:t xml:space="preserve"> </w:t>
      </w:r>
      <w:r>
        <w:rPr>
          <w:rFonts w:ascii="David" w:hAnsi="David" w:cs="David"/>
          <w:color w:val="000000"/>
          <w:sz w:val="18"/>
          <w:szCs w:val="18"/>
          <w:rtl/>
        </w:rPr>
        <w:t>. ערה"ש שם, לשיטתו בציון 1374, בטעם שמים שנעשית מצותם אינם מטמאים.</w:t>
      </w:r>
    </w:p>
  </w:footnote>
  <w:footnote w:id="1242">
    <w:p w14:paraId="65307C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1242</w:t>
      </w:r>
      <w:r>
        <w:rPr>
          <w:rFonts w:ascii="David" w:hAnsi="David" w:cs="David"/>
          <w:sz w:val="24"/>
          <w:szCs w:val="24"/>
          <w:rtl/>
        </w:rPr>
        <w:t xml:space="preserve"> </w:t>
      </w:r>
      <w:r>
        <w:rPr>
          <w:rFonts w:ascii="David" w:hAnsi="David" w:cs="David"/>
          <w:color w:val="000000"/>
          <w:sz w:val="18"/>
          <w:szCs w:val="18"/>
          <w:rtl/>
        </w:rPr>
        <w:t>. ערה"ש שם.</w:t>
      </w:r>
    </w:p>
  </w:footnote>
  <w:footnote w:id="1243">
    <w:p w14:paraId="102021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1243</w:t>
      </w:r>
      <w:r>
        <w:rPr>
          <w:rFonts w:ascii="David" w:hAnsi="David" w:cs="David"/>
          <w:sz w:val="24"/>
          <w:szCs w:val="24"/>
          <w:rtl/>
        </w:rPr>
        <w:t xml:space="preserve"> </w:t>
      </w:r>
      <w:r>
        <w:rPr>
          <w:rFonts w:ascii="David" w:hAnsi="David" w:cs="David"/>
          <w:color w:val="000000"/>
          <w:sz w:val="18"/>
          <w:szCs w:val="18"/>
          <w:rtl/>
        </w:rPr>
        <w:t>. ציון 1224 ואילך.</w:t>
      </w:r>
    </w:p>
  </w:footnote>
  <w:footnote w:id="1244">
    <w:p w14:paraId="3BA4AA7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1244</w:t>
      </w:r>
      <w:r>
        <w:rPr>
          <w:rFonts w:ascii="David" w:hAnsi="David" w:cs="David"/>
          <w:sz w:val="24"/>
          <w:szCs w:val="24"/>
          <w:rtl/>
        </w:rPr>
        <w:t xml:space="preserve"> </w:t>
      </w:r>
      <w:r>
        <w:rPr>
          <w:rFonts w:ascii="David" w:hAnsi="David" w:cs="David"/>
          <w:color w:val="000000"/>
          <w:sz w:val="18"/>
          <w:szCs w:val="18"/>
          <w:rtl/>
        </w:rPr>
        <w:t>. פסחים יח א, וע"ע הסח הדעת ציון 300 ואילך, ושם שבספרי ותוספ' י"ח ולמדו מן הכתוב לטהר, ועי' ספרי שם (והובא בפהמ"ש פרה שם מ"ה), שאף לטמא למדו מן הכתוב, ועי' להלן ציון 1348, ועי' חס"ד סוף מקואות ויד דוד פסחים שם, שלדעתם טמא מה"ת (ולכאו' היינו שאינם סוברים שפסול מטעמים שבציון הבא), ועי' רש"ש ומשנ"א שם וחזו"א שם סי' יג ס"ק ז, שצידדו לומר שאף לד' הבבלי י"ס בד' תנאים שמטמאים (ועי' פהמ"ש ורע"ב ותוי"ט וחזו"נ ותוס' רע"א פרה שם, על ההלכה במח' תנאים זו, וע"ע הלכה כסתם משנה ציון 111 ואילך), ועי' ציון 1251, על שיעור הזמן שיהיו במעיה שאף לדבריהם אין מטמאים, ע"ע עיכול. ועי' להלן על טומאה דרבנן. ועי' ציון 1313 ואילך, שי"ס שמ"מ מטמאים טומאת משקים.</w:t>
      </w:r>
    </w:p>
  </w:footnote>
  <w:footnote w:id="1245">
    <w:p w14:paraId="372B594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1245</w:t>
      </w:r>
      <w:r>
        <w:rPr>
          <w:rFonts w:ascii="David" w:hAnsi="David" w:cs="David"/>
          <w:sz w:val="24"/>
          <w:szCs w:val="24"/>
          <w:rtl/>
        </w:rPr>
        <w:t xml:space="preserve"> </w:t>
      </w:r>
      <w:r>
        <w:rPr>
          <w:rFonts w:ascii="David" w:hAnsi="David" w:cs="David"/>
          <w:color w:val="000000"/>
          <w:sz w:val="18"/>
          <w:szCs w:val="18"/>
          <w:rtl/>
        </w:rPr>
        <w:t>. עי' ציונים 36 ואילך, 56 ואילך. תוס' פסחים שם ד"ה הא; עי' רמב"ם שבע' הנ"ל ציון 305, ועי' לעיל; ר"ש פרה שם. וע"ע הנ"ל ציון 302 ואילך, וע"ש ציון 303 מספרי ותוספ', וצ"ב אם הכוונה ללמוד מהכתוב שהם פסולים, וה"ה בשאר פסולים, או שהוא דין דוקא במים שבמעי פרה, ועי' יד דוד שם. ועי' רש"ש פסחים שם. וכ"ה לר"ן דלהלן ציון 1340, שאין מטמאים משום שנפסלו בתערובת. ועי' להלן. ועי' רש"י פסחים שם ד"ה בטלו, שהטעם שאינם מטמאים, משום שאין שמם עליהם, ואפשר שמטעם זה טהורים אף לסוברים שבשאר פסולים טמאים מה"ת. ועי' ציון 43, שי"ס שאף כשהם בפיה פסולים משום היסה"ד. ועי' שפ"א שם, ע"פ ראב"ד לתו"כ מצורע פרק ט ה"ד, שי"ל שהמים לא נפסלים בשתיית הפרה, אלא שכיון שנעשו משקה סרוח, אינם מטמאים (ולכאו' אף נפסלים), ומשום חומרת מי חטאת, מטמאים טומאה קלה, וכעי"ז נקט בחזו"נ פרה שם, שמשום שנעשו משקה סרוח אינם מטמאים, ועי' יד דוד פסחים שם, שלא מצינו שמי חטאת סרוחים נפסלים, וע"ע מים חיים, ולעיל ציון 680.</w:t>
      </w:r>
    </w:p>
  </w:footnote>
  <w:footnote w:id="1246">
    <w:p w14:paraId="150D341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1246</w:t>
      </w:r>
      <w:r>
        <w:rPr>
          <w:rFonts w:ascii="David" w:hAnsi="David" w:cs="David"/>
          <w:sz w:val="24"/>
          <w:szCs w:val="24"/>
          <w:rtl/>
        </w:rPr>
        <w:t xml:space="preserve"> </w:t>
      </w:r>
      <w:r>
        <w:rPr>
          <w:rFonts w:ascii="David" w:hAnsi="David" w:cs="David"/>
          <w:color w:val="000000"/>
          <w:sz w:val="18"/>
          <w:szCs w:val="18"/>
          <w:rtl/>
        </w:rPr>
        <w:t>. עי' ציון 1230 ואילך, שהם מטמאים, וראשונים ואחרונים שבציון 1240 שהיינו מדרבנן. ועי' ציון 1078, על טומאת הכלי שהמים בתוכו.</w:t>
      </w:r>
    </w:p>
  </w:footnote>
  <w:footnote w:id="1247">
    <w:p w14:paraId="36951A4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1247</w:t>
      </w:r>
      <w:r>
        <w:rPr>
          <w:rFonts w:ascii="David" w:hAnsi="David" w:cs="David"/>
          <w:sz w:val="24"/>
          <w:szCs w:val="24"/>
          <w:rtl/>
        </w:rPr>
        <w:t xml:space="preserve"> </w:t>
      </w:r>
      <w:r>
        <w:rPr>
          <w:rFonts w:ascii="David" w:hAnsi="David" w:cs="David"/>
          <w:color w:val="000000"/>
          <w:sz w:val="18"/>
          <w:szCs w:val="18"/>
          <w:rtl/>
        </w:rPr>
        <w:t>. ערה"ש שם.</w:t>
      </w:r>
    </w:p>
  </w:footnote>
  <w:footnote w:id="1248">
    <w:p w14:paraId="111DABD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1248</w:t>
      </w:r>
      <w:r>
        <w:rPr>
          <w:rFonts w:ascii="David" w:hAnsi="David" w:cs="David"/>
          <w:sz w:val="24"/>
          <w:szCs w:val="24"/>
          <w:rtl/>
        </w:rPr>
        <w:t xml:space="preserve"> </w:t>
      </w:r>
      <w:r>
        <w:rPr>
          <w:rFonts w:ascii="David" w:hAnsi="David" w:cs="David"/>
          <w:color w:val="000000"/>
          <w:sz w:val="18"/>
          <w:szCs w:val="18"/>
          <w:rtl/>
        </w:rPr>
        <w:t>. עי' ציון 912.</w:t>
      </w:r>
    </w:p>
  </w:footnote>
  <w:footnote w:id="1249">
    <w:p w14:paraId="3A5580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1249</w:t>
      </w:r>
      <w:r>
        <w:rPr>
          <w:rFonts w:ascii="David" w:hAnsi="David" w:cs="David"/>
          <w:sz w:val="24"/>
          <w:szCs w:val="24"/>
          <w:rtl/>
        </w:rPr>
        <w:t xml:space="preserve"> </w:t>
      </w:r>
      <w:r>
        <w:rPr>
          <w:rFonts w:ascii="David" w:hAnsi="David" w:cs="David"/>
          <w:color w:val="000000"/>
          <w:sz w:val="18"/>
          <w:szCs w:val="18"/>
          <w:rtl/>
        </w:rPr>
        <w:t>. עי' פרה פ"ט מ"ח, ופהמ"ש ור"ש מכ"י וא"ר וחי' הגר"א שם וראש יוסף חולין ט ב ותפא"י שם אות נח וחס"ד לתוספ' שם ריש פ"י, בביאורה, ותוספ' שם, ותפא"י וחס"ד שם בביאורה; עי' רמב"ם פרה פט"ו ה"ג. ועי' ראב"ד שם פי"ד ה"ז וכס"מ שם. ועי' תפא"י שם פי"ב בועז אות יג. ועי' חזו"א מקואות קמא סי' י ס"ק ד.</w:t>
      </w:r>
    </w:p>
  </w:footnote>
  <w:footnote w:id="1250">
    <w:p w14:paraId="7D31F6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1250</w:t>
      </w:r>
      <w:r>
        <w:rPr>
          <w:rFonts w:ascii="David" w:hAnsi="David" w:cs="David"/>
          <w:sz w:val="24"/>
          <w:szCs w:val="24"/>
          <w:rtl/>
        </w:rPr>
        <w:t xml:space="preserve"> </w:t>
      </w:r>
      <w:r>
        <w:rPr>
          <w:rFonts w:ascii="David" w:hAnsi="David" w:cs="David"/>
          <w:color w:val="000000"/>
          <w:sz w:val="18"/>
          <w:szCs w:val="18"/>
          <w:rtl/>
        </w:rPr>
        <w:t>. בהגר"א לתוספ' שם וחי' הגר"א וחס"ד שם, בד' ריב"נ בתוספ' שם: מי חטאת שנטמאו הרי הן כאפר מקלה, ועי' חזו"א פרה סי' ה סוס"ק יט. ועי' חס"ד שם, בטעם שמדמה לאפר מקלה. וכ"נ בספ"ז יט כא, וזי"ר וספירי אפרים שם.</w:t>
      </w:r>
    </w:p>
  </w:footnote>
  <w:footnote w:id="1251">
    <w:p w14:paraId="00B7F24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1251</w:t>
      </w:r>
      <w:r>
        <w:rPr>
          <w:rFonts w:ascii="David" w:hAnsi="David" w:cs="David"/>
          <w:sz w:val="24"/>
          <w:szCs w:val="24"/>
          <w:rtl/>
        </w:rPr>
        <w:t xml:space="preserve"> </w:t>
      </w:r>
      <w:r>
        <w:rPr>
          <w:rFonts w:ascii="David" w:hAnsi="David" w:cs="David"/>
          <w:color w:val="000000"/>
          <w:sz w:val="18"/>
          <w:szCs w:val="18"/>
          <w:rtl/>
        </w:rPr>
        <w:t>. עי' תוי"ט פרה שם ותפא"י וחזו"א דלהלן, ע"פ גמ' שבציון 1244 (ועי' ציון הנ"ל שי"ח, וצ"ב אם היינו מה"ת או מדרבנן), וראשונים שבציון 1314.</w:t>
      </w:r>
    </w:p>
  </w:footnote>
  <w:footnote w:id="1252">
    <w:p w14:paraId="2BD5C3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1252</w:t>
      </w:r>
      <w:r>
        <w:rPr>
          <w:rFonts w:ascii="David" w:hAnsi="David" w:cs="David"/>
          <w:sz w:val="24"/>
          <w:szCs w:val="24"/>
          <w:rtl/>
        </w:rPr>
        <w:t xml:space="preserve"> </w:t>
      </w:r>
      <w:r>
        <w:rPr>
          <w:rFonts w:ascii="David" w:hAnsi="David" w:cs="David"/>
          <w:color w:val="000000"/>
          <w:sz w:val="18"/>
          <w:szCs w:val="18"/>
          <w:rtl/>
        </w:rPr>
        <w:t>. עי' לעיל.</w:t>
      </w:r>
    </w:p>
  </w:footnote>
  <w:footnote w:id="1253">
    <w:p w14:paraId="42AA1F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1253</w:t>
      </w:r>
      <w:r>
        <w:rPr>
          <w:rFonts w:ascii="David" w:hAnsi="David" w:cs="David"/>
          <w:sz w:val="24"/>
          <w:szCs w:val="24"/>
          <w:rtl/>
        </w:rPr>
        <w:t xml:space="preserve"> </w:t>
      </w:r>
      <w:r>
        <w:rPr>
          <w:rFonts w:ascii="David" w:hAnsi="David" w:cs="David"/>
          <w:color w:val="000000"/>
          <w:sz w:val="18"/>
          <w:szCs w:val="18"/>
          <w:rtl/>
        </w:rPr>
        <w:t>. חזו"א שם ס"ק יז, ועי' ציונים 1334, 1341. ועי' שו"מ קמא ח"ג סי' רטו.</w:t>
      </w:r>
    </w:p>
  </w:footnote>
  <w:footnote w:id="1254">
    <w:p w14:paraId="138838A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1254</w:t>
      </w:r>
      <w:r>
        <w:rPr>
          <w:rFonts w:ascii="David" w:hAnsi="David" w:cs="David"/>
          <w:sz w:val="24"/>
          <w:szCs w:val="24"/>
          <w:rtl/>
        </w:rPr>
        <w:t xml:space="preserve"> </w:t>
      </w:r>
      <w:r>
        <w:rPr>
          <w:rFonts w:ascii="David" w:hAnsi="David" w:cs="David"/>
          <w:color w:val="000000"/>
          <w:sz w:val="18"/>
          <w:szCs w:val="18"/>
          <w:rtl/>
        </w:rPr>
        <w:t>. רש"ש פסחים יח א, בד' תוס' שם (ור"ש שבציון 1334), שאף כשהם בפיה אם נפסלו אינם מטמאים.</w:t>
      </w:r>
    </w:p>
  </w:footnote>
  <w:footnote w:id="1255">
    <w:p w14:paraId="6BF310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1255</w:t>
      </w:r>
      <w:r>
        <w:rPr>
          <w:rFonts w:ascii="David" w:hAnsi="David" w:cs="David"/>
          <w:sz w:val="24"/>
          <w:szCs w:val="24"/>
          <w:rtl/>
        </w:rPr>
        <w:t xml:space="preserve"> </w:t>
      </w:r>
      <w:r>
        <w:rPr>
          <w:rFonts w:ascii="David" w:hAnsi="David" w:cs="David"/>
          <w:color w:val="000000"/>
          <w:sz w:val="18"/>
          <w:szCs w:val="18"/>
          <w:rtl/>
        </w:rPr>
        <w:t>. עי' אחרונים שבציון 1359, וכעי"ז בתפא"י שם אות לט: אבל אותם שבלעה בטל חומר מי חטאת מהם, וכעי"ז צידד לומר ברש"ש שם מתחילה, והוכיח מתוס' שבציון הקודם לא כן.</w:t>
      </w:r>
    </w:p>
  </w:footnote>
  <w:footnote w:id="1256">
    <w:p w14:paraId="66D38F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1256</w:t>
      </w:r>
      <w:r>
        <w:rPr>
          <w:rFonts w:ascii="David" w:hAnsi="David" w:cs="David"/>
          <w:sz w:val="24"/>
          <w:szCs w:val="24"/>
          <w:rtl/>
        </w:rPr>
        <w:t xml:space="preserve"> </w:t>
      </w:r>
      <w:r>
        <w:rPr>
          <w:rFonts w:ascii="David" w:hAnsi="David" w:cs="David"/>
          <w:color w:val="000000"/>
          <w:sz w:val="18"/>
          <w:szCs w:val="18"/>
          <w:rtl/>
        </w:rPr>
        <w:t>. עי' ציון 1365 ואילך. ועי' ציון 1378, שי"ס בד' תנאים שגזרו עליהם.</w:t>
      </w:r>
    </w:p>
  </w:footnote>
  <w:footnote w:id="1257">
    <w:p w14:paraId="5D403B9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1257</w:t>
      </w:r>
      <w:r>
        <w:rPr>
          <w:rFonts w:ascii="David" w:hAnsi="David" w:cs="David"/>
          <w:sz w:val="24"/>
          <w:szCs w:val="24"/>
          <w:rtl/>
        </w:rPr>
        <w:t xml:space="preserve"> </w:t>
      </w:r>
      <w:r>
        <w:rPr>
          <w:rFonts w:ascii="David" w:hAnsi="David" w:cs="David"/>
          <w:color w:val="000000"/>
          <w:sz w:val="18"/>
          <w:szCs w:val="18"/>
          <w:rtl/>
        </w:rPr>
        <w:t>. ערה"ש שם.</w:t>
      </w:r>
    </w:p>
  </w:footnote>
  <w:footnote w:id="1258">
    <w:p w14:paraId="043A9EF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1258</w:t>
      </w:r>
      <w:r>
        <w:rPr>
          <w:rFonts w:ascii="David" w:hAnsi="David" w:cs="David"/>
          <w:sz w:val="24"/>
          <w:szCs w:val="24"/>
          <w:rtl/>
        </w:rPr>
        <w:t xml:space="preserve"> </w:t>
      </w:r>
      <w:r>
        <w:rPr>
          <w:rFonts w:ascii="David" w:hAnsi="David" w:cs="David"/>
          <w:color w:val="000000"/>
          <w:sz w:val="18"/>
          <w:szCs w:val="18"/>
          <w:rtl/>
        </w:rPr>
        <w:t>. עי' ציונים 1187 ואילך, 1200.</w:t>
      </w:r>
    </w:p>
  </w:footnote>
  <w:footnote w:id="1259">
    <w:p w14:paraId="57F244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1259</w:t>
      </w:r>
      <w:r>
        <w:rPr>
          <w:rFonts w:ascii="David" w:hAnsi="David" w:cs="David"/>
          <w:sz w:val="24"/>
          <w:szCs w:val="24"/>
          <w:rtl/>
        </w:rPr>
        <w:t xml:space="preserve"> </w:t>
      </w:r>
      <w:r>
        <w:rPr>
          <w:rFonts w:ascii="David" w:hAnsi="David" w:cs="David"/>
          <w:color w:val="000000"/>
          <w:sz w:val="18"/>
          <w:szCs w:val="18"/>
          <w:rtl/>
        </w:rPr>
        <w:t>. עי' ראב"ד פרה פ"י ה"ח, ע"פ תוספ' שם פי"ב, וכ"ה גי' הר"ש פרה פי"ב מ"ד, ועי' להלן שי"ג בע"א. ועי' להלן שי"מ בע"א.</w:t>
      </w:r>
    </w:p>
  </w:footnote>
  <w:footnote w:id="1260">
    <w:p w14:paraId="04320E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1260</w:t>
      </w:r>
      <w:r>
        <w:rPr>
          <w:rFonts w:ascii="David" w:hAnsi="David" w:cs="David"/>
          <w:sz w:val="24"/>
          <w:szCs w:val="24"/>
          <w:rtl/>
        </w:rPr>
        <w:t xml:space="preserve"> </w:t>
      </w:r>
      <w:r>
        <w:rPr>
          <w:rFonts w:ascii="David" w:hAnsi="David" w:cs="David"/>
          <w:color w:val="000000"/>
          <w:sz w:val="18"/>
          <w:szCs w:val="18"/>
          <w:rtl/>
        </w:rPr>
        <w:t>. חזו"א שם סי' ו סוס"ק ז הא', בפי' הב'.</w:t>
      </w:r>
    </w:p>
  </w:footnote>
  <w:footnote w:id="1261">
    <w:p w14:paraId="0F6881E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1261</w:t>
      </w:r>
      <w:r>
        <w:rPr>
          <w:rFonts w:ascii="David" w:hAnsi="David" w:cs="David"/>
          <w:sz w:val="24"/>
          <w:szCs w:val="24"/>
          <w:rtl/>
        </w:rPr>
        <w:t xml:space="preserve"> </w:t>
      </w:r>
      <w:r>
        <w:rPr>
          <w:rFonts w:ascii="David" w:hAnsi="David" w:cs="David"/>
          <w:color w:val="000000"/>
          <w:sz w:val="18"/>
          <w:szCs w:val="18"/>
          <w:rtl/>
        </w:rPr>
        <w:t>. עי' גי' הגר"א ובהגר"א לתוספ' שם, שכ"ה לגירסתו בתוספ' שם, ועי' הג' הגר"א למשנה שם, שהגיה בד' הר"ש. ועי' חזו"א שם, שבפי' הא' פי' כן אף בד' ראשונים שבציון 1259.</w:t>
      </w:r>
    </w:p>
  </w:footnote>
  <w:footnote w:id="1262">
    <w:p w14:paraId="374CF42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1262</w:t>
      </w:r>
      <w:r>
        <w:rPr>
          <w:rFonts w:ascii="David" w:hAnsi="David" w:cs="David"/>
          <w:sz w:val="24"/>
          <w:szCs w:val="24"/>
          <w:rtl/>
        </w:rPr>
        <w:t xml:space="preserve"> </w:t>
      </w:r>
      <w:r>
        <w:rPr>
          <w:rFonts w:ascii="David" w:hAnsi="David" w:cs="David"/>
          <w:color w:val="000000"/>
          <w:sz w:val="18"/>
          <w:szCs w:val="18"/>
          <w:rtl/>
        </w:rPr>
        <w:t>. ע"ע מים חיים. ועי' לעיל ציון 89.</w:t>
      </w:r>
    </w:p>
  </w:footnote>
  <w:footnote w:id="1263">
    <w:p w14:paraId="1E3E751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1263</w:t>
      </w:r>
      <w:r>
        <w:rPr>
          <w:rFonts w:ascii="David" w:hAnsi="David" w:cs="David"/>
          <w:sz w:val="24"/>
          <w:szCs w:val="24"/>
          <w:rtl/>
        </w:rPr>
        <w:t xml:space="preserve"> </w:t>
      </w:r>
      <w:r>
        <w:rPr>
          <w:rFonts w:ascii="David" w:hAnsi="David" w:cs="David"/>
          <w:color w:val="000000"/>
          <w:sz w:val="18"/>
          <w:szCs w:val="18"/>
          <w:rtl/>
        </w:rPr>
        <w:t>. עי' תוספ' כלים ב"ק פ"א, וחס"ד שם ועמק הנצי"ב לספרי חוקת עמ' קצו בביאורה, ועי' אבן ישראל שאר אבות הטומאות פ"ו הי"ג, ועי' להלן.</w:t>
      </w:r>
    </w:p>
  </w:footnote>
  <w:footnote w:id="1264">
    <w:p w14:paraId="5D1E20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1264</w:t>
      </w:r>
      <w:r>
        <w:rPr>
          <w:rFonts w:ascii="David" w:hAnsi="David" w:cs="David"/>
          <w:sz w:val="24"/>
          <w:szCs w:val="24"/>
          <w:rtl/>
        </w:rPr>
        <w:t xml:space="preserve"> </w:t>
      </w:r>
      <w:r>
        <w:rPr>
          <w:rFonts w:ascii="David" w:hAnsi="David" w:cs="David"/>
          <w:color w:val="000000"/>
          <w:sz w:val="18"/>
          <w:szCs w:val="18"/>
          <w:rtl/>
        </w:rPr>
        <w:t>. מק"ד טהרות סי' מח אות א, וכעי"ז בעמק הנצי"ב שם.</w:t>
      </w:r>
    </w:p>
  </w:footnote>
  <w:footnote w:id="1265">
    <w:p w14:paraId="67D6D2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1265</w:t>
      </w:r>
      <w:r>
        <w:rPr>
          <w:rFonts w:ascii="David" w:hAnsi="David" w:cs="David"/>
          <w:sz w:val="24"/>
          <w:szCs w:val="24"/>
          <w:rtl/>
        </w:rPr>
        <w:t xml:space="preserve"> </w:t>
      </w:r>
      <w:r>
        <w:rPr>
          <w:rFonts w:ascii="David" w:hAnsi="David" w:cs="David"/>
          <w:color w:val="000000"/>
          <w:sz w:val="18"/>
          <w:szCs w:val="18"/>
          <w:rtl/>
        </w:rPr>
        <w:t>. עי' ציון 1107. זרע אברהם לספרי שם, ומפרש כן אף ד' ר"י קורקוס דלהלן; מלבי"ם במדבר יט כא: י"ל.</w:t>
      </w:r>
    </w:p>
  </w:footnote>
  <w:footnote w:id="1266">
    <w:p w14:paraId="375CF8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1266</w:t>
      </w:r>
      <w:r>
        <w:rPr>
          <w:rFonts w:ascii="David" w:hAnsi="David" w:cs="David"/>
          <w:sz w:val="24"/>
          <w:szCs w:val="24"/>
          <w:rtl/>
        </w:rPr>
        <w:t xml:space="preserve"> </w:t>
      </w:r>
      <w:r>
        <w:rPr>
          <w:rFonts w:ascii="David" w:hAnsi="David" w:cs="David"/>
          <w:color w:val="000000"/>
          <w:sz w:val="18"/>
          <w:szCs w:val="18"/>
          <w:rtl/>
        </w:rPr>
        <w:t>. עי' ר"י קורקוס שבציון 1128, ועי' אחרונים דלהלן.</w:t>
      </w:r>
    </w:p>
  </w:footnote>
  <w:footnote w:id="1267">
    <w:p w14:paraId="04C6CA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1267</w:t>
      </w:r>
      <w:r>
        <w:rPr>
          <w:rFonts w:ascii="David" w:hAnsi="David" w:cs="David"/>
          <w:sz w:val="24"/>
          <w:szCs w:val="24"/>
          <w:rtl/>
        </w:rPr>
        <w:t xml:space="preserve"> </w:t>
      </w:r>
      <w:r>
        <w:rPr>
          <w:rFonts w:ascii="David" w:hAnsi="David" w:cs="David"/>
          <w:color w:val="000000"/>
          <w:sz w:val="18"/>
          <w:szCs w:val="18"/>
          <w:rtl/>
        </w:rPr>
        <w:t>. חס"ד זבים פ"ה, בביאור ד' ר"י קורקוס שם, ועי' לעיל; חזו"א פרה סי' יד ס"ק ח (ועי' ציון 900). ועי' סד"ט כלים יג א.</w:t>
      </w:r>
    </w:p>
  </w:footnote>
  <w:footnote w:id="1268">
    <w:p w14:paraId="595777B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1268</w:t>
      </w:r>
      <w:r>
        <w:rPr>
          <w:rFonts w:ascii="David" w:hAnsi="David" w:cs="David"/>
          <w:sz w:val="24"/>
          <w:szCs w:val="24"/>
          <w:rtl/>
        </w:rPr>
        <w:t xml:space="preserve"> </w:t>
      </w:r>
      <w:r>
        <w:rPr>
          <w:rFonts w:ascii="David" w:hAnsi="David" w:cs="David"/>
          <w:color w:val="000000"/>
          <w:sz w:val="18"/>
          <w:szCs w:val="18"/>
          <w:rtl/>
        </w:rPr>
        <w:t>. עי' ציון 1240 ואילך. עי' להלן.</w:t>
      </w:r>
    </w:p>
  </w:footnote>
  <w:footnote w:id="1269">
    <w:p w14:paraId="0B98BE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1269</w:t>
      </w:r>
      <w:r>
        <w:rPr>
          <w:rFonts w:ascii="David" w:hAnsi="David" w:cs="David"/>
          <w:sz w:val="24"/>
          <w:szCs w:val="24"/>
          <w:rtl/>
        </w:rPr>
        <w:t xml:space="preserve"> </w:t>
      </w:r>
      <w:r>
        <w:rPr>
          <w:rFonts w:ascii="David" w:hAnsi="David" w:cs="David"/>
          <w:color w:val="000000"/>
          <w:sz w:val="18"/>
          <w:szCs w:val="18"/>
          <w:rtl/>
        </w:rPr>
        <w:t>. פהמ"ש לרמב"ם פרה פ"ט מ"ח, ואפשר שפי' כן לסוברים שמטמא אף לחולין, שמטעם זה נקטה המשנה לתרומה, ועי' להלן.</w:t>
      </w:r>
    </w:p>
  </w:footnote>
  <w:footnote w:id="1270">
    <w:p w14:paraId="7DDB0E6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1270</w:t>
      </w:r>
      <w:r>
        <w:rPr>
          <w:rFonts w:ascii="David" w:hAnsi="David" w:cs="David"/>
          <w:sz w:val="24"/>
          <w:szCs w:val="24"/>
          <w:rtl/>
        </w:rPr>
        <w:t xml:space="preserve"> </w:t>
      </w:r>
      <w:r>
        <w:rPr>
          <w:rFonts w:ascii="David" w:hAnsi="David" w:cs="David"/>
          <w:color w:val="000000"/>
          <w:sz w:val="18"/>
          <w:szCs w:val="18"/>
          <w:rtl/>
        </w:rPr>
        <w:t>. תפא"י שם אות נד.</w:t>
      </w:r>
    </w:p>
  </w:footnote>
  <w:footnote w:id="1271">
    <w:p w14:paraId="57C4CE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1271</w:t>
      </w:r>
      <w:r>
        <w:rPr>
          <w:rFonts w:ascii="David" w:hAnsi="David" w:cs="David"/>
          <w:sz w:val="24"/>
          <w:szCs w:val="24"/>
          <w:rtl/>
        </w:rPr>
        <w:t xml:space="preserve"> </w:t>
      </w:r>
      <w:r>
        <w:rPr>
          <w:rFonts w:ascii="David" w:hAnsi="David" w:cs="David"/>
          <w:color w:val="000000"/>
          <w:sz w:val="18"/>
          <w:szCs w:val="18"/>
          <w:rtl/>
        </w:rPr>
        <w:t>. עי' תפא"י שם. וע"ש אות נה, שהמים מטמאים חולין, שיטמאו תרומה.</w:t>
      </w:r>
    </w:p>
  </w:footnote>
  <w:footnote w:id="1272">
    <w:p w14:paraId="3436B88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1272</w:t>
      </w:r>
      <w:r>
        <w:rPr>
          <w:rFonts w:ascii="David" w:hAnsi="David" w:cs="David"/>
          <w:sz w:val="24"/>
          <w:szCs w:val="24"/>
          <w:rtl/>
        </w:rPr>
        <w:t xml:space="preserve"> </w:t>
      </w:r>
      <w:r>
        <w:rPr>
          <w:rFonts w:ascii="David" w:hAnsi="David" w:cs="David"/>
          <w:color w:val="000000"/>
          <w:sz w:val="18"/>
          <w:szCs w:val="18"/>
          <w:rtl/>
        </w:rPr>
        <w:t>. עי' ציון 1059 ואילך, שהם אב הטומאה מה"ת, וציון 1137, שדוקא לחטאת י"ס שאין מטמאים. ראשונים ואחרונים דלהלן. ועי' ציון 1143. ועי' שוהם וישפה פרה פט"ו ה"ב, שהוכיח שטומאה קלה טמא אף לחולין, ונקט שהוא מה"ת. ועי' תפא"י שם פי"ב אות לו, שהנטמא בהם אסור להיכנס למקדש.</w:t>
      </w:r>
    </w:p>
  </w:footnote>
  <w:footnote w:id="1273">
    <w:p w14:paraId="32529B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1273</w:t>
      </w:r>
      <w:r>
        <w:rPr>
          <w:rFonts w:ascii="David" w:hAnsi="David" w:cs="David"/>
          <w:sz w:val="24"/>
          <w:szCs w:val="24"/>
          <w:rtl/>
        </w:rPr>
        <w:t xml:space="preserve"> </w:t>
      </w:r>
      <w:r>
        <w:rPr>
          <w:rFonts w:ascii="David" w:hAnsi="David" w:cs="David"/>
          <w:color w:val="000000"/>
          <w:sz w:val="18"/>
          <w:szCs w:val="18"/>
          <w:rtl/>
        </w:rPr>
        <w:t>. משנה פ"ט שם.</w:t>
      </w:r>
    </w:p>
  </w:footnote>
  <w:footnote w:id="1274">
    <w:p w14:paraId="26149F1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1274</w:t>
      </w:r>
      <w:r>
        <w:rPr>
          <w:rFonts w:ascii="David" w:hAnsi="David" w:cs="David"/>
          <w:sz w:val="24"/>
          <w:szCs w:val="24"/>
          <w:rtl/>
        </w:rPr>
        <w:t xml:space="preserve"> </w:t>
      </w:r>
      <w:r>
        <w:rPr>
          <w:rFonts w:ascii="David" w:hAnsi="David" w:cs="David"/>
          <w:color w:val="000000"/>
          <w:sz w:val="18"/>
          <w:szCs w:val="18"/>
          <w:rtl/>
        </w:rPr>
        <w:t>. ר"ש מכ"י שם, ועי' מים טהורים שם; רע"ב שם; כס"מ פרה שם; חס"ד לתוספתא שם רפ"י, ושם שכעין המשנה אף בתוספתא שם, ושהוא אף לענין משא, עי' ציון 1073 ואילך, ושהל' בתוספ' שם "בין טהורין" לאו דוקא, שהרי טהורים מטמאים אף לחולין. ועי' מים טהורים שם, בד' הרמב"ם. ועי' ציונים 1137, 1142, 1211, שי"מ המשנה בע"א.</w:t>
      </w:r>
    </w:p>
  </w:footnote>
  <w:footnote w:id="1275">
    <w:p w14:paraId="002818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1275</w:t>
      </w:r>
      <w:r>
        <w:rPr>
          <w:rFonts w:ascii="David" w:hAnsi="David" w:cs="David"/>
          <w:sz w:val="24"/>
          <w:szCs w:val="24"/>
          <w:rtl/>
        </w:rPr>
        <w:t xml:space="preserve"> </w:t>
      </w:r>
      <w:r>
        <w:rPr>
          <w:rFonts w:ascii="David" w:hAnsi="David" w:cs="David"/>
          <w:color w:val="000000"/>
          <w:sz w:val="18"/>
          <w:szCs w:val="18"/>
          <w:rtl/>
        </w:rPr>
        <w:t>. חזו"א פרה סי' ה ס"ק יז, וכ"מ למפרשים המשנה בע"א, עי' ציון הקודם, ועי' ערה"ש פרה סי' עח ס"ב, של"מ כן.</w:t>
      </w:r>
    </w:p>
  </w:footnote>
  <w:footnote w:id="1276">
    <w:p w14:paraId="1D31D3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1276</w:t>
      </w:r>
      <w:r>
        <w:rPr>
          <w:rFonts w:ascii="David" w:hAnsi="David" w:cs="David"/>
          <w:sz w:val="24"/>
          <w:szCs w:val="24"/>
          <w:rtl/>
        </w:rPr>
        <w:t xml:space="preserve"> </w:t>
      </w:r>
      <w:r>
        <w:rPr>
          <w:rFonts w:ascii="David" w:hAnsi="David" w:cs="David"/>
          <w:color w:val="000000"/>
          <w:sz w:val="18"/>
          <w:szCs w:val="18"/>
          <w:rtl/>
        </w:rPr>
        <w:t>. עי' ציון 1081 ואילך. ר"ש מכ"י שם, ושם שהוא כשם שמצינו שחלוקה טומאתם לענין אין בו כדי הזאה, עי' ציון 1107, ועי' ציון 1335; עי' תפא"י שם בועז אות ט, וע"ש מסקנתו, וע"ש יכין אות נה, שמטמא במשא. אבל סתימת שא"ר אינה כן, ועי' כס"מ שם ה"ד בשם ר"י קורקוס ומים טהורים שם, ועי' חזו"א שם ס"ק טז, וע"ש סוס"י ט. ועי' דעת יוסף שם מ"ה.</w:t>
      </w:r>
    </w:p>
  </w:footnote>
  <w:footnote w:id="1277">
    <w:p w14:paraId="1B899E2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1277</w:t>
      </w:r>
      <w:r>
        <w:rPr>
          <w:rFonts w:ascii="David" w:hAnsi="David" w:cs="David"/>
          <w:sz w:val="24"/>
          <w:szCs w:val="24"/>
          <w:rtl/>
        </w:rPr>
        <w:t xml:space="preserve"> </w:t>
      </w:r>
      <w:r>
        <w:rPr>
          <w:rFonts w:ascii="David" w:hAnsi="David" w:cs="David"/>
          <w:color w:val="000000"/>
          <w:sz w:val="18"/>
          <w:szCs w:val="18"/>
          <w:rtl/>
        </w:rPr>
        <w:t>. ע"ע ידים ציון 61 ואילך, וע' שמונה עשר דבר, וע"ע מעלות, שבחטאת אם נטמאו ידיו נטמא גופו. עי' פרה שם מ"ח, ורמב"ם פרה שם ה"ג. ועי' חזו"א שם ס"ק יז, שאע"פ שכל מי חטאת טמאים טומאת משקים, עי' ציון 1311, מכח טומאה זו שהיא מכח מי חטאת, לא גזרו שיטמאו את הידים, ועי' ציונים 1047, 1137 ואילך.</w:t>
      </w:r>
    </w:p>
  </w:footnote>
  <w:footnote w:id="1278">
    <w:p w14:paraId="0983EE1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1278</w:t>
      </w:r>
      <w:r>
        <w:rPr>
          <w:rFonts w:ascii="David" w:hAnsi="David" w:cs="David"/>
          <w:sz w:val="24"/>
          <w:szCs w:val="24"/>
          <w:rtl/>
        </w:rPr>
        <w:t xml:space="preserve"> </w:t>
      </w:r>
      <w:r>
        <w:rPr>
          <w:rFonts w:ascii="David" w:hAnsi="David" w:cs="David"/>
          <w:color w:val="000000"/>
          <w:sz w:val="18"/>
          <w:szCs w:val="18"/>
          <w:rtl/>
        </w:rPr>
        <w:t>. רמב"ם שם ה"ב, ע"פ פרה שם, ועי' לעיל שי"מ המשנה בע"א. ועי' כעי"ז בר"ש שם פ"ח מ"ב, ע"פ משנה הנ"ל, במים שנפסלו בהיסה"ד, (אבל מסקנתו שם שאף טהורים אינם מטמאים לחטאת, עי' ציון 1137, ואפשר שאף לפ"ז טמאים אינם מטמאים הטהור לחטאת אף לתרומה, עי' ציון הבא), וע"ש שכלים מטמאים, ועי' ציון 1044 ואילך, שיש שפי' שטומאת הכלים אינו מטומאת מי חטאת. ועי' חזו"א שם ס"ק יד, שאע"פ שנפסלו ובטלה טהרתם לחטאת (ועי' ציון 1047), כיון שהיו מי חטאת, לא החמירו בהם שיטמאו אדם ככל אוכלים שאין טמאים לחטאת, וכ' מטעם זה, שאף בנטמאו בטומאה שהיא מעלה בחטאת, אין מטמאים אדם הטהור לחטאת. ועי' ספ"ז יט כא, שנ' שאף לתרומה אינו מטמא אלא ברגליו, ולא בידיו, ועי' זי"ר שם, שהגי' להיפך שמטמא בידיו, ועי' ספירי אפרים שם שהגיה שמטמא בידיו ורגליו.</w:t>
      </w:r>
    </w:p>
  </w:footnote>
  <w:footnote w:id="1279">
    <w:p w14:paraId="2551D89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1279</w:t>
      </w:r>
      <w:r>
        <w:rPr>
          <w:rFonts w:ascii="David" w:hAnsi="David" w:cs="David"/>
          <w:sz w:val="24"/>
          <w:szCs w:val="24"/>
          <w:rtl/>
        </w:rPr>
        <w:t xml:space="preserve"> </w:t>
      </w:r>
      <w:r>
        <w:rPr>
          <w:rFonts w:ascii="David" w:hAnsi="David" w:cs="David"/>
          <w:color w:val="000000"/>
          <w:sz w:val="18"/>
          <w:szCs w:val="18"/>
          <w:rtl/>
        </w:rPr>
        <w:t>. עי' רמב"ם שם: כמות שהיה, ומרכה"מ שם פי"ד ה"ז וחזו"א שם ס"ק יג, בדעתו, וכ"ה בפהמ"ש הנדמ"ח שם, אבל בפהמ"ש שבדפוסים, טימא לתרומה אף הטהור לחטאת, וכעי"ז הביא בכס"מ שם ה"ד בשם ר"י קורקוס, ועי' חזו"א שם שתמה, ועי' עמק הנצי"ב חוקת עמ' קצד. ועי' חזו"א שם ס"ק כ בד' רמב"ם שם פי"ד ה"ז.</w:t>
      </w:r>
    </w:p>
  </w:footnote>
  <w:footnote w:id="1280">
    <w:p w14:paraId="4FEF432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1280</w:t>
      </w:r>
      <w:r>
        <w:rPr>
          <w:rFonts w:ascii="David" w:hAnsi="David" w:cs="David"/>
          <w:sz w:val="24"/>
          <w:szCs w:val="24"/>
          <w:rtl/>
        </w:rPr>
        <w:t xml:space="preserve"> </w:t>
      </w:r>
      <w:r>
        <w:rPr>
          <w:rFonts w:ascii="David" w:hAnsi="David" w:cs="David"/>
          <w:color w:val="000000"/>
          <w:sz w:val="18"/>
          <w:szCs w:val="18"/>
          <w:rtl/>
        </w:rPr>
        <w:t>. פהמ"ש שם.</w:t>
      </w:r>
    </w:p>
  </w:footnote>
  <w:footnote w:id="1281">
    <w:p w14:paraId="28F09D7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1281</w:t>
      </w:r>
      <w:r>
        <w:rPr>
          <w:rFonts w:ascii="David" w:hAnsi="David" w:cs="David"/>
          <w:sz w:val="24"/>
          <w:szCs w:val="24"/>
          <w:rtl/>
        </w:rPr>
        <w:t xml:space="preserve"> </w:t>
      </w:r>
      <w:r>
        <w:rPr>
          <w:rFonts w:ascii="David" w:hAnsi="David" w:cs="David"/>
          <w:color w:val="000000"/>
          <w:sz w:val="18"/>
          <w:szCs w:val="18"/>
          <w:rtl/>
        </w:rPr>
        <w:t>. עי' ראשונים ואחרונים שבציון 1240 בד' הרמב"ם, וכ"כ ברש"ש פרה פ"י מ"ו. ועי' ציון 1217, שי"ס שכ"ד הרמב"ם בהלכות, ועי' להלן. ועי' ציון 1142, שי"ס בד' הרמב"ם שמים כשרים מטמאים אף לענין חטאת, וציון 1137 שי"ח, ועי' משנ"א פרה שם ותולדות אדם לספרי חקת פיס' קכט, שתמהו, מכח זה על ר"י קורקוס הנ"ל.</w:t>
      </w:r>
    </w:p>
  </w:footnote>
  <w:footnote w:id="1282">
    <w:p w14:paraId="31D4C33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1282</w:t>
      </w:r>
      <w:r>
        <w:rPr>
          <w:rFonts w:ascii="David" w:hAnsi="David" w:cs="David"/>
          <w:sz w:val="24"/>
          <w:szCs w:val="24"/>
          <w:rtl/>
        </w:rPr>
        <w:t xml:space="preserve"> </w:t>
      </w:r>
      <w:r>
        <w:rPr>
          <w:rFonts w:ascii="David" w:hAnsi="David" w:cs="David"/>
          <w:color w:val="000000"/>
          <w:sz w:val="18"/>
          <w:szCs w:val="18"/>
          <w:rtl/>
        </w:rPr>
        <w:t>. מרכה"מ שם, וכ"ה לשאר אחרונים שבציון הקודם.</w:t>
      </w:r>
    </w:p>
  </w:footnote>
  <w:footnote w:id="1283">
    <w:p w14:paraId="4A5182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1283</w:t>
      </w:r>
      <w:r>
        <w:rPr>
          <w:rFonts w:ascii="David" w:hAnsi="David" w:cs="David"/>
          <w:sz w:val="24"/>
          <w:szCs w:val="24"/>
          <w:rtl/>
        </w:rPr>
        <w:t xml:space="preserve"> </w:t>
      </w:r>
      <w:r>
        <w:rPr>
          <w:rFonts w:ascii="David" w:hAnsi="David" w:cs="David"/>
          <w:color w:val="000000"/>
          <w:sz w:val="18"/>
          <w:szCs w:val="18"/>
          <w:rtl/>
        </w:rPr>
        <w:t>. ציון 1211 ואילך. וע"ש שכ"ד הרמב"ם בפהמ"ש, וכן צ"ל לאחרונים הסוברים שלד' הרמב"ם אף פסולים טומאתם מה"ת, עי' ציון 1237, ועי' משנ"א שבציון 1196, לשיטתו בציון 1220, שפי' ד' הרמב"ם הנ"ל במים שדינם ככשרים, ושהטעם שאינו נטמא הוא משום שהוא לצורך הזאה.</w:t>
      </w:r>
    </w:p>
  </w:footnote>
  <w:footnote w:id="1284">
    <w:p w14:paraId="34159A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1284</w:t>
      </w:r>
      <w:r>
        <w:rPr>
          <w:rFonts w:ascii="David" w:hAnsi="David" w:cs="David"/>
          <w:sz w:val="24"/>
          <w:szCs w:val="24"/>
          <w:rtl/>
        </w:rPr>
        <w:t xml:space="preserve"> </w:t>
      </w:r>
      <w:r>
        <w:rPr>
          <w:rFonts w:ascii="David" w:hAnsi="David" w:cs="David"/>
          <w:color w:val="000000"/>
          <w:sz w:val="18"/>
          <w:szCs w:val="18"/>
          <w:rtl/>
        </w:rPr>
        <w:t>. רא"ש וא"ר פרה פ"ט מ"ח, וצ"ב אם לדעתם מטמא מה"ת, ועי' להלן וציון 1237.</w:t>
      </w:r>
    </w:p>
  </w:footnote>
  <w:footnote w:id="1285">
    <w:p w14:paraId="3BCE0D5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1285</w:t>
      </w:r>
      <w:r>
        <w:rPr>
          <w:rFonts w:ascii="David" w:hAnsi="David" w:cs="David"/>
          <w:sz w:val="24"/>
          <w:szCs w:val="24"/>
          <w:rtl/>
        </w:rPr>
        <w:t xml:space="preserve"> </w:t>
      </w:r>
      <w:r>
        <w:rPr>
          <w:rFonts w:ascii="David" w:hAnsi="David" w:cs="David"/>
          <w:color w:val="000000"/>
          <w:sz w:val="18"/>
          <w:szCs w:val="18"/>
          <w:rtl/>
        </w:rPr>
        <w:t>. עי' ציון 1237 ואילך.</w:t>
      </w:r>
    </w:p>
  </w:footnote>
  <w:footnote w:id="1286">
    <w:p w14:paraId="6AE1818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1286</w:t>
      </w:r>
      <w:r>
        <w:rPr>
          <w:rFonts w:ascii="David" w:hAnsi="David" w:cs="David"/>
          <w:sz w:val="24"/>
          <w:szCs w:val="24"/>
          <w:rtl/>
        </w:rPr>
        <w:t xml:space="preserve"> </w:t>
      </w:r>
      <w:r>
        <w:rPr>
          <w:rFonts w:ascii="David" w:hAnsi="David" w:cs="David"/>
          <w:color w:val="000000"/>
          <w:sz w:val="18"/>
          <w:szCs w:val="18"/>
          <w:rtl/>
        </w:rPr>
        <w:t>. עי' ראשונים ואחרונים שבציון 1240, שפי' שטעם החילוק בין מים שנפסלו למים כשרים, משום שכשנפסלו טומאתם מדרבנן; עי' תולדות אדם שם, שלאחר שכ' שהפסולים מטמאים מה"ת, דחה את חילוק הרע"ב שבציון 1274 בין תרומה לחולין. ועי' לעיל.</w:t>
      </w:r>
    </w:p>
  </w:footnote>
  <w:footnote w:id="1287">
    <w:p w14:paraId="68327B6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1287</w:t>
      </w:r>
      <w:r>
        <w:rPr>
          <w:rFonts w:ascii="David" w:hAnsi="David" w:cs="David"/>
          <w:sz w:val="24"/>
          <w:szCs w:val="24"/>
          <w:rtl/>
        </w:rPr>
        <w:t xml:space="preserve"> </w:t>
      </w:r>
      <w:r>
        <w:rPr>
          <w:rFonts w:ascii="David" w:hAnsi="David" w:cs="David"/>
          <w:color w:val="000000"/>
          <w:sz w:val="18"/>
          <w:szCs w:val="18"/>
          <w:rtl/>
        </w:rPr>
        <w:t>. ציונים 709 ואילך, 747, 910, 1000, 1041.</w:t>
      </w:r>
    </w:p>
  </w:footnote>
  <w:footnote w:id="1288">
    <w:p w14:paraId="73B5A9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1288</w:t>
      </w:r>
      <w:r>
        <w:rPr>
          <w:rFonts w:ascii="David" w:hAnsi="David" w:cs="David"/>
          <w:sz w:val="24"/>
          <w:szCs w:val="24"/>
          <w:rtl/>
        </w:rPr>
        <w:t xml:space="preserve"> </w:t>
      </w:r>
      <w:r>
        <w:rPr>
          <w:rFonts w:ascii="David" w:hAnsi="David" w:cs="David"/>
          <w:color w:val="000000"/>
          <w:sz w:val="18"/>
          <w:szCs w:val="18"/>
          <w:rtl/>
        </w:rPr>
        <w:t>. עי' ראשונים ואחרונים דלהלן; שהם וישפה פרה פט"ו ה"ד ומשנ"א פרה פ"ט מ"ח, בד' ר"ש ורע"ב שם, שהעמידו משנה שם שבציון 1240, במים שנשתנו מראיהם, שפסולם מה"ת, ע"ע מים חיים; מרכה"מ שם פי"ד ה"ז; מנ"ח מ' שצט: אפשר; תפא"י פרה שם בועז אות ט, וע"ש פי"ב אות יג; חזו"א פרה סי' ה ס"ק יג וכג וסי' יא ס"ק י וסי' יד ס"ק ז וסי' טו ס"ק ו. ועי' ראש יוסף חולין ט ב, שנסתפק בזה. ועי' מים טהורים שם ופי"א מ"ג, ועי' שושנים לדוד שם. ועי' ציון 1333.</w:t>
      </w:r>
    </w:p>
  </w:footnote>
  <w:footnote w:id="1289">
    <w:p w14:paraId="1B301B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1289</w:t>
      </w:r>
      <w:r>
        <w:rPr>
          <w:rFonts w:ascii="David" w:hAnsi="David" w:cs="David"/>
          <w:sz w:val="24"/>
          <w:szCs w:val="24"/>
          <w:rtl/>
        </w:rPr>
        <w:t xml:space="preserve"> </w:t>
      </w:r>
      <w:r>
        <w:rPr>
          <w:rFonts w:ascii="David" w:hAnsi="David" w:cs="David"/>
          <w:color w:val="000000"/>
          <w:sz w:val="18"/>
          <w:szCs w:val="18"/>
          <w:rtl/>
        </w:rPr>
        <w:t>. עי' ציונים 36 ואילך, 56 ואילך. עי' מנ"ח שם וחזו"א שם ושם ושם ושם ושם ובס"ק טז ובסי' ו סוס"ק ז (הא'). ועי' חזו"א שם סי' ה ס"ק יג, שהרמב"ם שם פט"ו ה"ב ובפהמ"ש שם (וראשונים ואחרונים שבציון 1240 בדעתו), שהעמיד דין מים פסולים כשנתערב בהם מים או ששתתה מהם בהמה (וכ"ה ברא"ש פרה פ"ט שם, אבל לשיטתו לא מצינו קולא בנפסלו, עי' ציון 1284), שפסולם מדרבנן, עי' ציונים 747, 857, (ועי' ציון 746, שי"ס שפסולו מה"ת, ועי' ציון 1334 ואילך), מדבר באופן שהסיח דעתו, שאל"כ מטמאים מה"ת, ועי' חזו"א שם ס"ק כג, ועי' משנ"א שם שבציון 1196, שביאר ד' הרמב"ם באופ"א.</w:t>
      </w:r>
    </w:p>
  </w:footnote>
  <w:footnote w:id="1290">
    <w:p w14:paraId="1FAC08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1290</w:t>
      </w:r>
      <w:r>
        <w:rPr>
          <w:rFonts w:ascii="David" w:hAnsi="David" w:cs="David"/>
          <w:sz w:val="24"/>
          <w:szCs w:val="24"/>
          <w:rtl/>
        </w:rPr>
        <w:t xml:space="preserve"> </w:t>
      </w:r>
      <w:r>
        <w:rPr>
          <w:rFonts w:ascii="David" w:hAnsi="David" w:cs="David"/>
          <w:color w:val="000000"/>
          <w:sz w:val="18"/>
          <w:szCs w:val="18"/>
          <w:rtl/>
        </w:rPr>
        <w:t>. רמב"ם פרה שם ה"ד, ע"פ פרה שם מ"ז: אפר כשר שנתערב באפר מקלה הולכין אחר הרוב ליטמא, שהיינו באופן שקידש באפר זה, ועי' משנ"א שם ותפא"י בועז שם אות ח, שרש"י בכורות כג א ד"ה ואי, פי' שהטומאה היא באפר עצמו, ועי' שע"י ש"ג פט"ו וכט וחזו"א שם סי' ט ס"ק יב וס"ק יז בתחילת דבריו, שד' הרמב"ם שהאפר אינו מטמא קודם קידוש, והטומאה מחמת האפר, (ושאף מש"כ הרמב"ם שם, שאם היה רוב אפר פסול אינו מטמא במגע אלא במשא, היינו כשהיה האפר לבדו, אבל המים מטמאים אף במגע, ועי' ציון 1331), ועי' חזו"א שם מסקנתו, וע"ש סי' יג ס"ק יב. על דין מים שנתקדשו באפר הפסול מה"ת, עי' ציון 1304</w:t>
      </w:r>
    </w:p>
  </w:footnote>
  <w:footnote w:id="1291">
    <w:p w14:paraId="25CA03F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1291</w:t>
      </w:r>
      <w:r>
        <w:rPr>
          <w:rFonts w:ascii="David" w:hAnsi="David" w:cs="David"/>
          <w:sz w:val="24"/>
          <w:szCs w:val="24"/>
          <w:rtl/>
        </w:rPr>
        <w:t xml:space="preserve"> </w:t>
      </w:r>
      <w:r>
        <w:rPr>
          <w:rFonts w:ascii="David" w:hAnsi="David" w:cs="David"/>
          <w:color w:val="000000"/>
          <w:sz w:val="18"/>
          <w:szCs w:val="18"/>
          <w:rtl/>
        </w:rPr>
        <w:t>. רמב"ם שם, ע"פ בכורות כג א, ועי' חזו"א דלהלן שביאר, ועי' תפא"י דלהלן, שתמה.</w:t>
      </w:r>
    </w:p>
  </w:footnote>
  <w:footnote w:id="1292">
    <w:p w14:paraId="52072AA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1292</w:t>
      </w:r>
      <w:r>
        <w:rPr>
          <w:rFonts w:ascii="David" w:hAnsi="David" w:cs="David"/>
          <w:sz w:val="24"/>
          <w:szCs w:val="24"/>
          <w:rtl/>
        </w:rPr>
        <w:t xml:space="preserve"> </w:t>
      </w:r>
      <w:r>
        <w:rPr>
          <w:rFonts w:ascii="David" w:hAnsi="David" w:cs="David"/>
          <w:color w:val="000000"/>
          <w:sz w:val="18"/>
          <w:szCs w:val="18"/>
          <w:rtl/>
        </w:rPr>
        <w:t>. ע"ע אפר חטאת ציון 136 ואילך.</w:t>
      </w:r>
    </w:p>
  </w:footnote>
  <w:footnote w:id="1293">
    <w:p w14:paraId="77FCB95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1293</w:t>
      </w:r>
      <w:r>
        <w:rPr>
          <w:rFonts w:ascii="David" w:hAnsi="David" w:cs="David"/>
          <w:sz w:val="24"/>
          <w:szCs w:val="24"/>
          <w:rtl/>
        </w:rPr>
        <w:t xml:space="preserve"> </w:t>
      </w:r>
      <w:r>
        <w:rPr>
          <w:rFonts w:ascii="David" w:hAnsi="David" w:cs="David"/>
          <w:color w:val="000000"/>
          <w:sz w:val="18"/>
          <w:szCs w:val="18"/>
          <w:rtl/>
        </w:rPr>
        <w:t>. תפא"י שם, וע"ש אות ט; חזו"א סי' ט שם. ועי' מים טהורים שם חרד"ן מ"ט.</w:t>
      </w:r>
    </w:p>
  </w:footnote>
  <w:footnote w:id="1294">
    <w:p w14:paraId="355F029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1294</w:t>
      </w:r>
      <w:r>
        <w:rPr>
          <w:rFonts w:ascii="David" w:hAnsi="David" w:cs="David"/>
          <w:sz w:val="24"/>
          <w:szCs w:val="24"/>
          <w:rtl/>
        </w:rPr>
        <w:t xml:space="preserve"> </w:t>
      </w:r>
      <w:r>
        <w:rPr>
          <w:rFonts w:ascii="David" w:hAnsi="David" w:cs="David"/>
          <w:color w:val="000000"/>
          <w:sz w:val="18"/>
          <w:szCs w:val="18"/>
          <w:rtl/>
        </w:rPr>
        <w:t>. עי' ציון 747. ועי' ציון 746, שי"ס שפסולים מה"ת.</w:t>
      </w:r>
    </w:p>
  </w:footnote>
  <w:footnote w:id="1295">
    <w:p w14:paraId="18F244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1295</w:t>
      </w:r>
      <w:r>
        <w:rPr>
          <w:rFonts w:ascii="David" w:hAnsi="David" w:cs="David"/>
          <w:sz w:val="24"/>
          <w:szCs w:val="24"/>
          <w:rtl/>
        </w:rPr>
        <w:t xml:space="preserve"> </w:t>
      </w:r>
      <w:r>
        <w:rPr>
          <w:rFonts w:ascii="David" w:hAnsi="David" w:cs="David"/>
          <w:color w:val="000000"/>
          <w:sz w:val="18"/>
          <w:szCs w:val="18"/>
          <w:rtl/>
        </w:rPr>
        <w:t>. שהם וישפה ומשנ"א שם. ועי' תוספ' שבציון 1335.</w:t>
      </w:r>
    </w:p>
  </w:footnote>
  <w:footnote w:id="1296">
    <w:p w14:paraId="214B00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1296</w:t>
      </w:r>
      <w:r>
        <w:rPr>
          <w:rFonts w:ascii="David" w:hAnsi="David" w:cs="David"/>
          <w:sz w:val="24"/>
          <w:szCs w:val="24"/>
          <w:rtl/>
        </w:rPr>
        <w:t xml:space="preserve"> </w:t>
      </w:r>
      <w:r>
        <w:rPr>
          <w:rFonts w:ascii="David" w:hAnsi="David" w:cs="David"/>
          <w:color w:val="000000"/>
          <w:sz w:val="18"/>
          <w:szCs w:val="18"/>
          <w:rtl/>
        </w:rPr>
        <w:t>. ציון 1334 ואילך.</w:t>
      </w:r>
    </w:p>
  </w:footnote>
  <w:footnote w:id="1297">
    <w:p w14:paraId="5552B4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1297</w:t>
      </w:r>
      <w:r>
        <w:rPr>
          <w:rFonts w:ascii="David" w:hAnsi="David" w:cs="David"/>
          <w:sz w:val="24"/>
          <w:szCs w:val="24"/>
          <w:rtl/>
        </w:rPr>
        <w:t xml:space="preserve"> </w:t>
      </w:r>
      <w:r>
        <w:rPr>
          <w:rFonts w:ascii="David" w:hAnsi="David" w:cs="David"/>
          <w:color w:val="000000"/>
          <w:sz w:val="18"/>
          <w:szCs w:val="18"/>
          <w:rtl/>
        </w:rPr>
        <w:t>. עי' ציון 912 ואילך.</w:t>
      </w:r>
    </w:p>
  </w:footnote>
  <w:footnote w:id="1298">
    <w:p w14:paraId="60E3CA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1298</w:t>
      </w:r>
      <w:r>
        <w:rPr>
          <w:rFonts w:ascii="David" w:hAnsi="David" w:cs="David"/>
          <w:sz w:val="24"/>
          <w:szCs w:val="24"/>
          <w:rtl/>
        </w:rPr>
        <w:t xml:space="preserve"> </w:t>
      </w:r>
      <w:r>
        <w:rPr>
          <w:rFonts w:ascii="David" w:hAnsi="David" w:cs="David"/>
          <w:color w:val="000000"/>
          <w:sz w:val="18"/>
          <w:szCs w:val="18"/>
          <w:rtl/>
        </w:rPr>
        <w:t>. עי' ציון 1059.</w:t>
      </w:r>
    </w:p>
  </w:footnote>
  <w:footnote w:id="1299">
    <w:p w14:paraId="1DD1D5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1299</w:t>
      </w:r>
      <w:r>
        <w:rPr>
          <w:rFonts w:ascii="David" w:hAnsi="David" w:cs="David"/>
          <w:sz w:val="24"/>
          <w:szCs w:val="24"/>
          <w:rtl/>
        </w:rPr>
        <w:t xml:space="preserve"> </w:t>
      </w:r>
      <w:r>
        <w:rPr>
          <w:rFonts w:ascii="David" w:hAnsi="David" w:cs="David"/>
          <w:color w:val="000000"/>
          <w:sz w:val="18"/>
          <w:szCs w:val="18"/>
          <w:rtl/>
        </w:rPr>
        <w:t>. עי' ציון 1240 ואילך.</w:t>
      </w:r>
    </w:p>
  </w:footnote>
  <w:footnote w:id="1300">
    <w:p w14:paraId="15EE21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1300</w:t>
      </w:r>
      <w:r>
        <w:rPr>
          <w:rFonts w:ascii="David" w:hAnsi="David" w:cs="David"/>
          <w:sz w:val="24"/>
          <w:szCs w:val="24"/>
          <w:rtl/>
        </w:rPr>
        <w:t xml:space="preserve"> </w:t>
      </w:r>
      <w:r>
        <w:rPr>
          <w:rFonts w:ascii="David" w:hAnsi="David" w:cs="David"/>
          <w:color w:val="000000"/>
          <w:sz w:val="18"/>
          <w:szCs w:val="18"/>
          <w:rtl/>
        </w:rPr>
        <w:t>. עי' במדבר יט כא וציון 1060 ואילך. עי' תפא"י בועז פרה פ"ט אות יא. וע"ש שהיינו אפי' באופן שנגע במים בגופו, שבנוגע בידו אף בשאר משקים טמאים נטמא בטומאת ידים, ע"ע ידים (טומאת ידים) ציון 61 ואילך, ולחטאת טמא כולו, ע"ע מעלות. והיינו אפי' טמא מה"ת, אבל טמא מחמת מעלה דרבנן, בלא זה נטמא, כיון שמה"ת המים כשרים, עי' ציון 1288 ואילך.</w:t>
      </w:r>
    </w:p>
  </w:footnote>
  <w:footnote w:id="1301">
    <w:p w14:paraId="6B7BDF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1301</w:t>
      </w:r>
      <w:r>
        <w:rPr>
          <w:rFonts w:ascii="David" w:hAnsi="David" w:cs="David"/>
          <w:sz w:val="24"/>
          <w:szCs w:val="24"/>
          <w:rtl/>
        </w:rPr>
        <w:t xml:space="preserve"> </w:t>
      </w:r>
      <w:r>
        <w:rPr>
          <w:rFonts w:ascii="David" w:hAnsi="David" w:cs="David"/>
          <w:color w:val="000000"/>
          <w:sz w:val="18"/>
          <w:szCs w:val="18"/>
          <w:rtl/>
        </w:rPr>
        <w:t>. מרכה"מ פרה פי"ד ה"ז, וכ' שלסוברים שכל - שאינו - בזה - אחר - זה - אפילו - בבת - אחת - אינו, ע"ע, אינו נטמא. ועי' מים טהורים פרה פי"א מ"ג.</w:t>
      </w:r>
    </w:p>
  </w:footnote>
  <w:footnote w:id="1302">
    <w:p w14:paraId="0A34E4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1302</w:t>
      </w:r>
      <w:r>
        <w:rPr>
          <w:rFonts w:ascii="David" w:hAnsi="David" w:cs="David"/>
          <w:sz w:val="24"/>
          <w:szCs w:val="24"/>
          <w:rtl/>
        </w:rPr>
        <w:t xml:space="preserve"> </w:t>
      </w:r>
      <w:r>
        <w:rPr>
          <w:rFonts w:ascii="David" w:hAnsi="David" w:cs="David"/>
          <w:color w:val="000000"/>
          <w:sz w:val="18"/>
          <w:szCs w:val="18"/>
          <w:rtl/>
        </w:rPr>
        <w:t>. עי' ציון 1272. עי' פהמ"ש לרמב"ם ורא"ש ורע"ב פרה פ"ט מ"ט, לגירסתם במשנה שם: מטמאין את הטהור לתרומה בידיו ובגופו, וכ"ד הרמב"ם פרה פט"ו ה"ה, וכס"מ שם. ועי' חזו"א פרה סי' יא ס"ק יד, שאם אינם ראויים מה"ת אינם מטמאים אלא מדרבנן (לד' שבציון 1240), וע"ש על טומאת האפר. ועי' חזו"א שם סי' טו ס"ק יא, במים שלא נתמלאו לחטאת, וכשנתערבו במי חטאת, ובמים שנטמאו. ועי' משנה שם שלחטאת אינם מטמאים, ועי' פהמ"ש ורע"ב שם, לשיטתם ציונים 1137, 1211.</w:t>
      </w:r>
    </w:p>
  </w:footnote>
  <w:footnote w:id="1303">
    <w:p w14:paraId="2A1E9F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1303</w:t>
      </w:r>
      <w:r>
        <w:rPr>
          <w:rFonts w:ascii="David" w:hAnsi="David" w:cs="David"/>
          <w:sz w:val="24"/>
          <w:szCs w:val="24"/>
          <w:rtl/>
        </w:rPr>
        <w:t xml:space="preserve"> </w:t>
      </w:r>
      <w:r>
        <w:rPr>
          <w:rFonts w:ascii="David" w:hAnsi="David" w:cs="David"/>
          <w:color w:val="000000"/>
          <w:sz w:val="18"/>
          <w:szCs w:val="18"/>
          <w:rtl/>
        </w:rPr>
        <w:t>. תפא"י שם אות סא, ועי' משנ"א שם, ושם בד' הרע"ב.</w:t>
      </w:r>
    </w:p>
  </w:footnote>
  <w:footnote w:id="1304">
    <w:p w14:paraId="73D2CE4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1304</w:t>
      </w:r>
      <w:r>
        <w:rPr>
          <w:rFonts w:ascii="David" w:hAnsi="David" w:cs="David"/>
          <w:sz w:val="24"/>
          <w:szCs w:val="24"/>
          <w:rtl/>
        </w:rPr>
        <w:t xml:space="preserve"> </w:t>
      </w:r>
      <w:r>
        <w:rPr>
          <w:rFonts w:ascii="David" w:hAnsi="David" w:cs="David"/>
          <w:color w:val="000000"/>
          <w:sz w:val="18"/>
          <w:szCs w:val="18"/>
          <w:rtl/>
        </w:rPr>
        <w:t>. משנ"א שם, וע"ש שטומאה זו קלה מטומאת מי חטאת שנפסלו, וחומרא בעלמא היא. וע"ש שנקט שלטעם זה ה"ה שגזרו טומאה באפר פסול שניתן על מים כשרים, מפני שדומים למי חטאת (ועי' ציון 1290), אבל בספ"ז יט כא נ' שאינו מטמא, ואפשר שאפר פסול הוא כאפר שריפה, ועי' תוספ' פרה פ"ט לגי' שלפנינו ובהגר"א שם וחזו"א שם סי' ה ס"ק יט, ועי' ר"ש שם והג' הגר"א לתוספ' שם, שלא גרסו כן.</w:t>
      </w:r>
    </w:p>
  </w:footnote>
  <w:footnote w:id="1305">
    <w:p w14:paraId="79404A3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1305</w:t>
      </w:r>
      <w:r>
        <w:rPr>
          <w:rFonts w:ascii="David" w:hAnsi="David" w:cs="David"/>
          <w:sz w:val="24"/>
          <w:szCs w:val="24"/>
          <w:rtl/>
        </w:rPr>
        <w:t xml:space="preserve"> </w:t>
      </w:r>
      <w:r>
        <w:rPr>
          <w:rFonts w:ascii="David" w:hAnsi="David" w:cs="David"/>
          <w:color w:val="000000"/>
          <w:sz w:val="18"/>
          <w:szCs w:val="18"/>
          <w:rtl/>
        </w:rPr>
        <w:t>. תוספתא שם (לגי' ר"ש והג' הגר"א שם) וספרי זוטא שם. חזו"א שם, ועי' דעת יוסף פרה שם.</w:t>
      </w:r>
    </w:p>
  </w:footnote>
  <w:footnote w:id="1306">
    <w:p w14:paraId="326B0FE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1306</w:t>
      </w:r>
      <w:r>
        <w:rPr>
          <w:rFonts w:ascii="David" w:hAnsi="David" w:cs="David"/>
          <w:sz w:val="24"/>
          <w:szCs w:val="24"/>
          <w:rtl/>
        </w:rPr>
        <w:t xml:space="preserve"> </w:t>
      </w:r>
      <w:r>
        <w:rPr>
          <w:rFonts w:ascii="David" w:hAnsi="David" w:cs="David"/>
          <w:color w:val="000000"/>
          <w:sz w:val="18"/>
          <w:szCs w:val="18"/>
          <w:rtl/>
        </w:rPr>
        <w:t>. עי' ציון 1043, וע' ידים ציון 61 ואילך, וע' מעלות. חזו"א ודעת יוסף שם.</w:t>
      </w:r>
    </w:p>
  </w:footnote>
  <w:footnote w:id="1307">
    <w:p w14:paraId="504D92C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1307</w:t>
      </w:r>
      <w:r>
        <w:rPr>
          <w:rFonts w:ascii="David" w:hAnsi="David" w:cs="David"/>
          <w:sz w:val="24"/>
          <w:szCs w:val="24"/>
          <w:rtl/>
        </w:rPr>
        <w:t xml:space="preserve"> </w:t>
      </w:r>
      <w:r>
        <w:rPr>
          <w:rFonts w:ascii="David" w:hAnsi="David" w:cs="David"/>
          <w:color w:val="000000"/>
          <w:sz w:val="18"/>
          <w:szCs w:val="18"/>
          <w:rtl/>
        </w:rPr>
        <w:t>. ר"ש שם, לגירסתו במשנה שם: מטמאין ידי הטהור לתרומה, שאין בו אלא טומאה מחמת שמשקים טמאים פוסלים את הידים, ע"ע ידים שם. ועי' רא"ש שם, שדחה, ועי' מים טהורים שם בביאור דבריו ובישוב שיטת הר"ש, ועי' חזו"א שם, ועי' משנ"א שם, שפי' ד' הר"ש בע"א, וצ"ב.</w:t>
      </w:r>
    </w:p>
  </w:footnote>
  <w:footnote w:id="1308">
    <w:p w14:paraId="4B053D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1308</w:t>
      </w:r>
      <w:r>
        <w:rPr>
          <w:rFonts w:ascii="David" w:hAnsi="David" w:cs="David"/>
          <w:sz w:val="24"/>
          <w:szCs w:val="24"/>
          <w:rtl/>
        </w:rPr>
        <w:t xml:space="preserve"> </w:t>
      </w:r>
      <w:r>
        <w:rPr>
          <w:rFonts w:ascii="David" w:hAnsi="David" w:cs="David"/>
          <w:color w:val="000000"/>
          <w:sz w:val="18"/>
          <w:szCs w:val="18"/>
          <w:rtl/>
        </w:rPr>
        <w:t>. ר"ש שם, שטומאתם משום משקים טמאים, עי' ציון הקודם.</w:t>
      </w:r>
    </w:p>
  </w:footnote>
  <w:footnote w:id="1309">
    <w:p w14:paraId="23277D8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1309</w:t>
      </w:r>
      <w:r>
        <w:rPr>
          <w:rFonts w:ascii="David" w:hAnsi="David" w:cs="David"/>
          <w:sz w:val="24"/>
          <w:szCs w:val="24"/>
          <w:rtl/>
        </w:rPr>
        <w:t xml:space="preserve"> </w:t>
      </w:r>
      <w:r>
        <w:rPr>
          <w:rFonts w:ascii="David" w:hAnsi="David" w:cs="David"/>
          <w:color w:val="000000"/>
          <w:sz w:val="18"/>
          <w:szCs w:val="18"/>
          <w:rtl/>
        </w:rPr>
        <w:t>. עי' להלן, ועי' ציון 1235. ועי' ציון 1240, שמ' בל' ראשונים שכ"ה מה"ת בכל מי חטאת פסולים, לסוברים שאינם מטמאים מה"ת, עי' ציון הנ"ל ואילך.</w:t>
      </w:r>
    </w:p>
  </w:footnote>
  <w:footnote w:id="1310">
    <w:p w14:paraId="3D08935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1310</w:t>
      </w:r>
      <w:r>
        <w:rPr>
          <w:rFonts w:ascii="David" w:hAnsi="David" w:cs="David"/>
          <w:sz w:val="24"/>
          <w:szCs w:val="24"/>
          <w:rtl/>
        </w:rPr>
        <w:t xml:space="preserve"> </w:t>
      </w:r>
      <w:r>
        <w:rPr>
          <w:rFonts w:ascii="David" w:hAnsi="David" w:cs="David"/>
          <w:color w:val="000000"/>
          <w:sz w:val="18"/>
          <w:szCs w:val="18"/>
          <w:rtl/>
        </w:rPr>
        <w:t>. ע"ע טמאת משקים ציונים 31 ואילך, 47 ואילך, 103 ואילך, ושם שמה"ת אינם מטמאים, ושי"ס שאוכלים הם מטמאים מה"ת.</w:t>
      </w:r>
    </w:p>
  </w:footnote>
  <w:footnote w:id="1311">
    <w:p w14:paraId="0D0959E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1311</w:t>
      </w:r>
      <w:r>
        <w:rPr>
          <w:rFonts w:ascii="David" w:hAnsi="David" w:cs="David"/>
          <w:sz w:val="24"/>
          <w:szCs w:val="24"/>
          <w:rtl/>
        </w:rPr>
        <w:t xml:space="preserve"> </w:t>
      </w:r>
      <w:r>
        <w:rPr>
          <w:rFonts w:ascii="David" w:hAnsi="David" w:cs="David"/>
          <w:color w:val="000000"/>
          <w:sz w:val="18"/>
          <w:szCs w:val="18"/>
          <w:rtl/>
        </w:rPr>
        <w:t>. עי' להלן. ועי' ציונים 1070, 1277. ועי' חזו"א פרה סי' ה ס"ק יז, שמ"מ אינם מטמאים לחטאת, וע"ש שנ' שהוא ע"פ ציון 1278, אבל אפשר שכוונתו ע"פ ציון 1137. ועי' ציון 1365, על נעשית מצותם.</w:t>
      </w:r>
    </w:p>
  </w:footnote>
  <w:footnote w:id="1312">
    <w:p w14:paraId="3AC9EE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1312</w:t>
      </w:r>
      <w:r>
        <w:rPr>
          <w:rFonts w:ascii="David" w:hAnsi="David" w:cs="David"/>
          <w:sz w:val="24"/>
          <w:szCs w:val="24"/>
          <w:rtl/>
        </w:rPr>
        <w:t xml:space="preserve"> </w:t>
      </w:r>
      <w:r>
        <w:rPr>
          <w:rFonts w:ascii="David" w:hAnsi="David" w:cs="David"/>
          <w:color w:val="000000"/>
          <w:sz w:val="18"/>
          <w:szCs w:val="18"/>
          <w:rtl/>
        </w:rPr>
        <w:t>. עי' ציונים 1244 ואילך (ושם שי"ח), 1253 ואילך.</w:t>
      </w:r>
    </w:p>
  </w:footnote>
  <w:footnote w:id="1313">
    <w:p w14:paraId="6FCD5FD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1313</w:t>
      </w:r>
      <w:r>
        <w:rPr>
          <w:rFonts w:ascii="David" w:hAnsi="David" w:cs="David"/>
          <w:sz w:val="24"/>
          <w:szCs w:val="24"/>
          <w:rtl/>
        </w:rPr>
        <w:t xml:space="preserve"> </w:t>
      </w:r>
      <w:r>
        <w:rPr>
          <w:rFonts w:ascii="David" w:hAnsi="David" w:cs="David"/>
          <w:color w:val="000000"/>
          <w:sz w:val="18"/>
          <w:szCs w:val="18"/>
          <w:rtl/>
        </w:rPr>
        <w:t>. עי' פסחים יח א: נהי דטומאה חמורה לא מטמאו, טומאה קלה מיהא ניטמאו, וכ"ה ד' ת"ק בפרה פ"ט מ"ה, לד' רב אשי בפסחים שם (ועי' ציון 1251, שי"מ בע"א), וללשון ראשון שם כ"ה אף ד' ר' יהודה בפרה שם, וע"ע הסח הדעת ציון 300 ואילך, ושם ולהלן ציון 1316, שאף החולקים הוא מטעם אחר.</w:t>
      </w:r>
    </w:p>
  </w:footnote>
  <w:footnote w:id="1314">
    <w:p w14:paraId="34E3499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1314</w:t>
      </w:r>
      <w:r>
        <w:rPr>
          <w:rFonts w:ascii="David" w:hAnsi="David" w:cs="David"/>
          <w:sz w:val="24"/>
          <w:szCs w:val="24"/>
          <w:rtl/>
        </w:rPr>
        <w:t xml:space="preserve"> </w:t>
      </w:r>
      <w:r>
        <w:rPr>
          <w:rFonts w:ascii="David" w:hAnsi="David" w:cs="David"/>
          <w:color w:val="000000"/>
          <w:sz w:val="18"/>
          <w:szCs w:val="18"/>
          <w:rtl/>
        </w:rPr>
        <w:t>. רש"י שם ד"ה בטלו; תוס' שם ד"ה הא. ועי' להלן.</w:t>
      </w:r>
    </w:p>
  </w:footnote>
  <w:footnote w:id="1315">
    <w:p w14:paraId="0E8B41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1315</w:t>
      </w:r>
      <w:r>
        <w:rPr>
          <w:rFonts w:ascii="David" w:hAnsi="David" w:cs="David"/>
          <w:sz w:val="24"/>
          <w:szCs w:val="24"/>
          <w:rtl/>
        </w:rPr>
        <w:t xml:space="preserve"> </w:t>
      </w:r>
      <w:r>
        <w:rPr>
          <w:rFonts w:ascii="David" w:hAnsi="David" w:cs="David"/>
          <w:color w:val="000000"/>
          <w:sz w:val="18"/>
          <w:szCs w:val="18"/>
          <w:rtl/>
        </w:rPr>
        <w:t>. עי' רש"י ור"ש שבציון 1317; עי' ראשונים שבציון 1326.</w:t>
      </w:r>
    </w:p>
  </w:footnote>
  <w:footnote w:id="1316">
    <w:p w14:paraId="0F6D2F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1316</w:t>
      </w:r>
      <w:r>
        <w:rPr>
          <w:rFonts w:ascii="David" w:hAnsi="David" w:cs="David"/>
          <w:sz w:val="24"/>
          <w:szCs w:val="24"/>
          <w:rtl/>
        </w:rPr>
        <w:t xml:space="preserve"> </w:t>
      </w:r>
      <w:r>
        <w:rPr>
          <w:rFonts w:ascii="David" w:hAnsi="David" w:cs="David"/>
          <w:color w:val="000000"/>
          <w:sz w:val="18"/>
          <w:szCs w:val="18"/>
          <w:rtl/>
        </w:rPr>
        <w:t>. ציון 301 ואילך. ועי' להלן ציון 1359. ועי' שו"מ קמא ח"ג סי' רטו ורש"ש פרה שם, שיש מטהרים בפרה ששתתה מטעם אחר.</w:t>
      </w:r>
    </w:p>
  </w:footnote>
  <w:footnote w:id="1317">
    <w:p w14:paraId="6AB160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1317</w:t>
      </w:r>
      <w:r>
        <w:rPr>
          <w:rFonts w:ascii="David" w:hAnsi="David" w:cs="David"/>
          <w:sz w:val="24"/>
          <w:szCs w:val="24"/>
          <w:rtl/>
        </w:rPr>
        <w:t xml:space="preserve"> </w:t>
      </w:r>
      <w:r>
        <w:rPr>
          <w:rFonts w:ascii="David" w:hAnsi="David" w:cs="David"/>
          <w:color w:val="000000"/>
          <w:sz w:val="18"/>
          <w:szCs w:val="18"/>
          <w:rtl/>
        </w:rPr>
        <w:t>. רש"י שם; ר"ש פרה שם. ועי' ציון 1063. ועי' שיעורי ר"ד פוברסקי פסחים שם שתמה, הרי נגיעה לצורך אינה מטמאה, עי' ציון 1180, ונגיעה זו חשובה לצורך שא"א שלא יגעו המים בעצמם, וע"ש שתי', ועי' ציון 1197, שי"ס שאף לצורך הזאה מטמא, וציון 1182, שי"ס שדוקא בצורך ההזאה עצמה אינו נטמא, ועי' חזו"א סי' ה ויג דלהלן. ועי' תור"פ שם, שדחה פי' זה, שלא מצינו שנגיעה בעצמו מטמאה, ועי' ציון 1326 שפי' באופ"א, ועי' חכמת מנוח שם וחס"ד סוף מקואות ומק"ד טהרות סי' מד אות ג וקוב"ש שם אות פד וחזו"א פרה סי' יג ס"ק ו וטבו"י סי' ד ס"ק ו, וע"ע בית הסתרים ציונים 3, 7, 13 ואילך.</w:t>
      </w:r>
    </w:p>
  </w:footnote>
  <w:footnote w:id="1318">
    <w:p w14:paraId="31E23D5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1318</w:t>
      </w:r>
      <w:r>
        <w:rPr>
          <w:rFonts w:ascii="David" w:hAnsi="David" w:cs="David"/>
          <w:sz w:val="24"/>
          <w:szCs w:val="24"/>
          <w:rtl/>
        </w:rPr>
        <w:t xml:space="preserve"> </w:t>
      </w:r>
      <w:r>
        <w:rPr>
          <w:rFonts w:ascii="David" w:hAnsi="David" w:cs="David"/>
          <w:color w:val="000000"/>
          <w:sz w:val="18"/>
          <w:szCs w:val="18"/>
          <w:rtl/>
        </w:rPr>
        <w:t>. דברי יחזקאל דלהלן.</w:t>
      </w:r>
    </w:p>
  </w:footnote>
  <w:footnote w:id="1319">
    <w:p w14:paraId="4F575F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1319</w:t>
      </w:r>
      <w:r>
        <w:rPr>
          <w:rFonts w:ascii="David" w:hAnsi="David" w:cs="David"/>
          <w:sz w:val="24"/>
          <w:szCs w:val="24"/>
          <w:rtl/>
        </w:rPr>
        <w:t xml:space="preserve"> </w:t>
      </w:r>
      <w:r>
        <w:rPr>
          <w:rFonts w:ascii="David" w:hAnsi="David" w:cs="David"/>
          <w:color w:val="000000"/>
          <w:sz w:val="18"/>
          <w:szCs w:val="18"/>
          <w:rtl/>
        </w:rPr>
        <w:t>. ע"ע טמאה ציון 615 ואילך.</w:t>
      </w:r>
    </w:p>
  </w:footnote>
  <w:footnote w:id="1320">
    <w:p w14:paraId="65EC6E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1320</w:t>
      </w:r>
      <w:r>
        <w:rPr>
          <w:rFonts w:ascii="David" w:hAnsi="David" w:cs="David"/>
          <w:sz w:val="24"/>
          <w:szCs w:val="24"/>
          <w:rtl/>
        </w:rPr>
        <w:t xml:space="preserve"> </w:t>
      </w:r>
      <w:r>
        <w:rPr>
          <w:rFonts w:ascii="David" w:hAnsi="David" w:cs="David"/>
          <w:color w:val="000000"/>
          <w:sz w:val="18"/>
          <w:szCs w:val="18"/>
          <w:rtl/>
        </w:rPr>
        <w:t>. עי' שו"מ שם; משיב נפש פסחים שם, ועי' דברי יחזקאל (ברשטיין) סי' א אות ט, בהו"א, ועי' להלן מסקנתו. וכ"מ בחזו"א פרה סי' ה סוס"ק יב, אבל מ' שהוא משום שכל שהם כשרים חשוב לצורך. ועי' ציון 1066. ועי' ציון 901 ואילך, שמבואר שמי חטאת יכולים לקבל טומאה, אבל מבואר שבסתמא לא קיבלו טומאה.</w:t>
      </w:r>
    </w:p>
  </w:footnote>
  <w:footnote w:id="1321">
    <w:p w14:paraId="3A48292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1321</w:t>
      </w:r>
      <w:r>
        <w:rPr>
          <w:rFonts w:ascii="David" w:hAnsi="David" w:cs="David"/>
          <w:sz w:val="24"/>
          <w:szCs w:val="24"/>
          <w:rtl/>
        </w:rPr>
        <w:t xml:space="preserve"> </w:t>
      </w:r>
      <w:r>
        <w:rPr>
          <w:rFonts w:ascii="David" w:hAnsi="David" w:cs="David"/>
          <w:color w:val="000000"/>
          <w:sz w:val="18"/>
          <w:szCs w:val="18"/>
          <w:rtl/>
        </w:rPr>
        <w:t>. עי' ציון 1064.</w:t>
      </w:r>
    </w:p>
  </w:footnote>
  <w:footnote w:id="1322">
    <w:p w14:paraId="7D60350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1322</w:t>
      </w:r>
      <w:r>
        <w:rPr>
          <w:rFonts w:ascii="David" w:hAnsi="David" w:cs="David"/>
          <w:sz w:val="24"/>
          <w:szCs w:val="24"/>
          <w:rtl/>
        </w:rPr>
        <w:t xml:space="preserve"> </w:t>
      </w:r>
      <w:r>
        <w:rPr>
          <w:rFonts w:ascii="David" w:hAnsi="David" w:cs="David"/>
          <w:color w:val="000000"/>
          <w:sz w:val="18"/>
          <w:szCs w:val="18"/>
          <w:rtl/>
        </w:rPr>
        <w:t>. עי' מסקנת דברי יחזקאל שם, ושם שא"א לפרש שאינם נטמאים עד שנפסלו, שהרי כ' תוס' שם ד"ה בטלו שאינם נפסלים אלא במעיה (עי' ציון 1334), וא"כ היא טומאה בלועה שאינה מטמאה, ע"ע טמאה בלועה ציון 1 ואילך, ועי' שיעורי ר"ד פוברסקי שם, שדחה, ועי' שו"מ שם.</w:t>
      </w:r>
    </w:p>
  </w:footnote>
  <w:footnote w:id="1323">
    <w:p w14:paraId="6EDF48A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1323</w:t>
      </w:r>
      <w:r>
        <w:rPr>
          <w:rFonts w:ascii="David" w:hAnsi="David" w:cs="David"/>
          <w:sz w:val="24"/>
          <w:szCs w:val="24"/>
          <w:rtl/>
        </w:rPr>
        <w:t xml:space="preserve"> </w:t>
      </w:r>
      <w:r>
        <w:rPr>
          <w:rFonts w:ascii="David" w:hAnsi="David" w:cs="David"/>
          <w:color w:val="000000"/>
          <w:sz w:val="18"/>
          <w:szCs w:val="18"/>
          <w:rtl/>
        </w:rPr>
        <w:t>. ע"ע הכשר ציון 628 ואילך.</w:t>
      </w:r>
    </w:p>
  </w:footnote>
  <w:footnote w:id="1324">
    <w:p w14:paraId="06F2F2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1324</w:t>
      </w:r>
      <w:r>
        <w:rPr>
          <w:rFonts w:ascii="David" w:hAnsi="David" w:cs="David"/>
          <w:sz w:val="24"/>
          <w:szCs w:val="24"/>
          <w:rtl/>
        </w:rPr>
        <w:t xml:space="preserve"> </w:t>
      </w:r>
      <w:r>
        <w:rPr>
          <w:rFonts w:ascii="David" w:hAnsi="David" w:cs="David"/>
          <w:color w:val="000000"/>
          <w:sz w:val="18"/>
          <w:szCs w:val="18"/>
          <w:rtl/>
        </w:rPr>
        <w:t>. ע"ע הנ"ל ציון 631. ועי' מקדש דוד שם בד' ראשונים דלעיל ציון 1317, שבמשקים לא נאמר כלל זה, ועי' חזו"א סי' יג שם בע"א, ואפשר שלא הוצרכו לטעם אחר, אלא בפרה ששתתה, שבטל מהם שם מי חטאת לגמרי, עי' ציון 1255, ואין חשובים סופם לטמא.</w:t>
      </w:r>
    </w:p>
  </w:footnote>
  <w:footnote w:id="1325">
    <w:p w14:paraId="315E5A3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1325</w:t>
      </w:r>
      <w:r>
        <w:rPr>
          <w:rFonts w:ascii="David" w:hAnsi="David" w:cs="David"/>
          <w:sz w:val="24"/>
          <w:szCs w:val="24"/>
          <w:rtl/>
        </w:rPr>
        <w:t xml:space="preserve"> </w:t>
      </w:r>
      <w:r>
        <w:rPr>
          <w:rFonts w:ascii="David" w:hAnsi="David" w:cs="David"/>
          <w:color w:val="000000"/>
          <w:sz w:val="18"/>
          <w:szCs w:val="18"/>
          <w:rtl/>
        </w:rPr>
        <w:t>. תור"פ דלהלן.</w:t>
      </w:r>
    </w:p>
  </w:footnote>
  <w:footnote w:id="1326">
    <w:p w14:paraId="0BB7F44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1326</w:t>
      </w:r>
      <w:r>
        <w:rPr>
          <w:rFonts w:ascii="David" w:hAnsi="David" w:cs="David"/>
          <w:sz w:val="24"/>
          <w:szCs w:val="24"/>
          <w:rtl/>
        </w:rPr>
        <w:t xml:space="preserve"> </w:t>
      </w:r>
      <w:r>
        <w:rPr>
          <w:rFonts w:ascii="David" w:hAnsi="David" w:cs="David"/>
          <w:color w:val="000000"/>
          <w:sz w:val="18"/>
          <w:szCs w:val="18"/>
          <w:rtl/>
        </w:rPr>
        <w:t>. עי' תוס' שם, וחולין עג ב ד"ה סלקא, ותור"פ פסחים שם ותוס' הרשב"א שם יז א. ועי' נאות יעקב סי' כ אות יא. ועי' שו"מ שם, בטעם שלא פי' שנטמא במגע, ועי' חכמת מנוח פסחים שם, ועי' לעיל שי"ס שהוא מגע בית הסתרים, ושי"ס שהוא מגע לצורך.</w:t>
      </w:r>
    </w:p>
  </w:footnote>
  <w:footnote w:id="1327">
    <w:p w14:paraId="2B2425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1327</w:t>
      </w:r>
      <w:r>
        <w:rPr>
          <w:rFonts w:ascii="David" w:hAnsi="David" w:cs="David"/>
          <w:sz w:val="24"/>
          <w:szCs w:val="24"/>
          <w:rtl/>
        </w:rPr>
        <w:t xml:space="preserve"> </w:t>
      </w:r>
      <w:r>
        <w:rPr>
          <w:rFonts w:ascii="David" w:hAnsi="David" w:cs="David"/>
          <w:color w:val="000000"/>
          <w:sz w:val="18"/>
          <w:szCs w:val="18"/>
          <w:rtl/>
        </w:rPr>
        <w:t>. ציון 1044 ואילך.</w:t>
      </w:r>
    </w:p>
  </w:footnote>
  <w:footnote w:id="1328">
    <w:p w14:paraId="24C494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1328</w:t>
      </w:r>
      <w:r>
        <w:rPr>
          <w:rFonts w:ascii="David" w:hAnsi="David" w:cs="David"/>
          <w:sz w:val="24"/>
          <w:szCs w:val="24"/>
          <w:rtl/>
        </w:rPr>
        <w:t xml:space="preserve"> </w:t>
      </w:r>
      <w:r>
        <w:rPr>
          <w:rFonts w:ascii="David" w:hAnsi="David" w:cs="David"/>
          <w:color w:val="000000"/>
          <w:sz w:val="18"/>
          <w:szCs w:val="18"/>
          <w:rtl/>
        </w:rPr>
        <w:t>. חס"ד לתוספ' דלהלן. וצ"ב שמי חטאת מקודשים נפסלים אף אם נפלו לתוכם מים שנתמלאו לקידוש, עי' ציון 723.</w:t>
      </w:r>
    </w:p>
  </w:footnote>
  <w:footnote w:id="1329">
    <w:p w14:paraId="248BDF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1329</w:t>
      </w:r>
      <w:r>
        <w:rPr>
          <w:rFonts w:ascii="David" w:hAnsi="David" w:cs="David"/>
          <w:sz w:val="24"/>
          <w:szCs w:val="24"/>
          <w:rtl/>
        </w:rPr>
        <w:t xml:space="preserve"> </w:t>
      </w:r>
      <w:r>
        <w:rPr>
          <w:rFonts w:ascii="David" w:hAnsi="David" w:cs="David"/>
          <w:color w:val="000000"/>
          <w:sz w:val="18"/>
          <w:szCs w:val="18"/>
          <w:rtl/>
        </w:rPr>
        <w:t>. עי' תוספתא פרה פ"ט, הובאה בר"ש שם פ"ט מ"א וג וברמב"ם פרה פט"ו ה"ד. ועי' כס"מ שם בשם ר"י קורקוס, והלכתא גבירתא שם מ"ה, וצ"ב. ועי' חזו"א פרה סי' טו ס"ק יא ודעת יוסף שם מ"ה. ועי' ציון 1361 ואילך.</w:t>
      </w:r>
    </w:p>
  </w:footnote>
  <w:footnote w:id="1330">
    <w:p w14:paraId="251093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1330</w:t>
      </w:r>
      <w:r>
        <w:rPr>
          <w:rFonts w:ascii="David" w:hAnsi="David" w:cs="David"/>
          <w:sz w:val="24"/>
          <w:szCs w:val="24"/>
          <w:rtl/>
        </w:rPr>
        <w:t xml:space="preserve"> </w:t>
      </w:r>
      <w:r>
        <w:rPr>
          <w:rFonts w:ascii="David" w:hAnsi="David" w:cs="David"/>
          <w:color w:val="000000"/>
          <w:sz w:val="18"/>
          <w:szCs w:val="18"/>
          <w:rtl/>
        </w:rPr>
        <w:t>. ע"ע בטול ברוב ציון 111 ואילך, שטומאת משא אינה בטלה.</w:t>
      </w:r>
    </w:p>
  </w:footnote>
  <w:footnote w:id="1331">
    <w:p w14:paraId="07F2346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1331</w:t>
      </w:r>
      <w:r>
        <w:rPr>
          <w:rFonts w:ascii="David" w:hAnsi="David" w:cs="David"/>
          <w:sz w:val="24"/>
          <w:szCs w:val="24"/>
          <w:rtl/>
        </w:rPr>
        <w:t xml:space="preserve"> </w:t>
      </w:r>
      <w:r>
        <w:rPr>
          <w:rFonts w:ascii="David" w:hAnsi="David" w:cs="David"/>
          <w:color w:val="000000"/>
          <w:sz w:val="18"/>
          <w:szCs w:val="18"/>
          <w:rtl/>
        </w:rPr>
        <w:t>. תפא"י שם בועז אות ט, ולא ביאר החילוק משאר משא. ועי' לעיל ציון 1290, שמיעוט אפר כשר שנתערב ברוב פסול, מטמא במשא, ועי' שהם וישפה פרה שם ומים טהורים שם חרד"נ מ"ח, בביאור החילוק בין תערובת אפר לתערובת מים, ועי' חזו"נ שם וחזו"א שם סי' ט ס"ק יז.</w:t>
      </w:r>
    </w:p>
  </w:footnote>
  <w:footnote w:id="1332">
    <w:p w14:paraId="71CFF55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1332</w:t>
      </w:r>
      <w:r>
        <w:rPr>
          <w:rFonts w:ascii="David" w:hAnsi="David" w:cs="David"/>
          <w:sz w:val="24"/>
          <w:szCs w:val="24"/>
          <w:rtl/>
        </w:rPr>
        <w:t xml:space="preserve"> </w:t>
      </w:r>
      <w:r>
        <w:rPr>
          <w:rFonts w:ascii="David" w:hAnsi="David" w:cs="David"/>
          <w:color w:val="000000"/>
          <w:sz w:val="18"/>
          <w:szCs w:val="18"/>
          <w:rtl/>
        </w:rPr>
        <w:t>. עי' ציון 709 ואילך, ועי' להלן.</w:t>
      </w:r>
    </w:p>
  </w:footnote>
  <w:footnote w:id="1333">
    <w:p w14:paraId="520389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1333</w:t>
      </w:r>
      <w:r>
        <w:rPr>
          <w:rFonts w:ascii="David" w:hAnsi="David" w:cs="David"/>
          <w:sz w:val="24"/>
          <w:szCs w:val="24"/>
          <w:rtl/>
        </w:rPr>
        <w:t xml:space="preserve"> </w:t>
      </w:r>
      <w:r>
        <w:rPr>
          <w:rFonts w:ascii="David" w:hAnsi="David" w:cs="David"/>
          <w:color w:val="000000"/>
          <w:sz w:val="18"/>
          <w:szCs w:val="18"/>
          <w:rtl/>
        </w:rPr>
        <w:t>. עי' ציון 1240 ואילך. ועי' ציון 1288, שפסולים מדרבנן מטמאים לד"ה, וצ"ב אם ראשונים ואחרונים דלהלן חולקים, או שהם סוברים שבתערובת פסולים מה"ת, עי' ציון 746 ואילך, (אבל אם פסולים מה"ת משום היסה"ד, עי' ציון 1289, הוא פסול הגוף), ועי' ציון 1337, שי"ס שאף אם הפסול מדרבנן, מטעם אחר אין מטמאים במגע.</w:t>
      </w:r>
    </w:p>
  </w:footnote>
  <w:footnote w:id="1334">
    <w:p w14:paraId="6CACD8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1334</w:t>
      </w:r>
      <w:r>
        <w:rPr>
          <w:rFonts w:ascii="David" w:hAnsi="David" w:cs="David"/>
          <w:sz w:val="24"/>
          <w:szCs w:val="24"/>
          <w:rtl/>
        </w:rPr>
        <w:t xml:space="preserve"> </w:t>
      </w:r>
      <w:r>
        <w:rPr>
          <w:rFonts w:ascii="David" w:hAnsi="David" w:cs="David"/>
          <w:color w:val="000000"/>
          <w:sz w:val="18"/>
          <w:szCs w:val="18"/>
          <w:rtl/>
        </w:rPr>
        <w:t>. עי' ר"ש שם מ"ג, ור"ש מכ"י שם מ"ח. וכן צידד מתחילה בתפא"י בועז שם, ועי' להלן. ועי' ר"ש מ"ג שם, שמטעם זה מ' בגמ' שבציון 1244 שפרה ששתתה מי חטאת אינם בטלים אלא במעיה, ולא בפיה, שאע"פ שלדעתו הם פסולים משום תערובת רוק, עי' ציון 857 ואילך, אין טומאתם פוקעת, ועי' חזו"א שם סי' ה ס"ק יז וסי' יג ס"ק ח, שדחה שמטמאים מדרבנן, שעדיין אינם הולכים לאיבוד, עי' ציון 1253 ואילך, וכ"נ לסוברים שנפסלים בפיה משום היסה"ד, או משום מלאכה, עי' ציונים 43, 77, (לסוברים שפסולים אלו אף אחר קידוש, עי' ציונים 57, 83), ועי' להלן שי"ס שבטלו אף בפיה, ועי' תוס' פסחים יח א ד"ה בטלו, שמ' שהם סוברים שאינם מתערבים בפיה, ולכך לא בטלו, ועי' חזו"נ פרה שם מ"ה, שאף משום משמרת הם נפסלים בפיה. ועי' חזו"א שבציון 1337. ועי' ציון 101, ואהא"ז שבציון הנ"ל. ולכאו' היינו כשלא הסיח דעתו, שא"כ נפסל לגמרי, ועי' ציון 1289, וע' הסח הדעת ציון 312.</w:t>
      </w:r>
    </w:p>
  </w:footnote>
  <w:footnote w:id="1335">
    <w:p w14:paraId="3E0B51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1335</w:t>
      </w:r>
      <w:r>
        <w:rPr>
          <w:rFonts w:ascii="David" w:hAnsi="David" w:cs="David"/>
          <w:sz w:val="24"/>
          <w:szCs w:val="24"/>
          <w:rtl/>
        </w:rPr>
        <w:t xml:space="preserve"> </w:t>
      </w:r>
      <w:r>
        <w:rPr>
          <w:rFonts w:ascii="David" w:hAnsi="David" w:cs="David"/>
          <w:color w:val="000000"/>
          <w:sz w:val="18"/>
          <w:szCs w:val="18"/>
          <w:rtl/>
        </w:rPr>
        <w:t>. תוספתא שם (הובאה ברמב"ם ור"ש שם), ועי' חס"ד שם, שבמע"מ מטמא לחומרא משום שא"א לצמצם, וצ"ב, ושכשנתערבו מי פירות מטמאים, אף על פי שיש בהם טעם פירות. ר"ש שם. אבל אפשר שאין מטמאים אלא מדרבנן, אבל שיטת הר"ש שמדרבנן אין מטמאים אלא במגע, עי' ציון 1276, ועי' ציון 1253 ואילך.</w:t>
      </w:r>
    </w:p>
  </w:footnote>
  <w:footnote w:id="1336">
    <w:p w14:paraId="5347F47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1336</w:t>
      </w:r>
      <w:r>
        <w:rPr>
          <w:rFonts w:ascii="David" w:hAnsi="David" w:cs="David"/>
          <w:sz w:val="24"/>
          <w:szCs w:val="24"/>
          <w:rtl/>
        </w:rPr>
        <w:t xml:space="preserve"> </w:t>
      </w:r>
      <w:r>
        <w:rPr>
          <w:rFonts w:ascii="David" w:hAnsi="David" w:cs="David"/>
          <w:color w:val="000000"/>
          <w:sz w:val="18"/>
          <w:szCs w:val="18"/>
          <w:rtl/>
        </w:rPr>
        <w:t>. ציון 1295.</w:t>
      </w:r>
    </w:p>
  </w:footnote>
  <w:footnote w:id="1337">
    <w:p w14:paraId="0A7B5F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1337</w:t>
      </w:r>
      <w:r>
        <w:rPr>
          <w:rFonts w:ascii="David" w:hAnsi="David" w:cs="David"/>
          <w:sz w:val="24"/>
          <w:szCs w:val="24"/>
          <w:rtl/>
        </w:rPr>
        <w:t xml:space="preserve"> </w:t>
      </w:r>
      <w:r>
        <w:rPr>
          <w:rFonts w:ascii="David" w:hAnsi="David" w:cs="David"/>
          <w:color w:val="000000"/>
          <w:sz w:val="18"/>
          <w:szCs w:val="18"/>
          <w:rtl/>
        </w:rPr>
        <w:t>. כס"מ בשם ר"י קורקוס שם: אפשר, ועדיין אינו נוח לי, ועי' סד"ט כלים יג א, שנקט בדעתו שכל מים פסולים מטמאים מה"ת במשא ולא במגע, וצ"ב; מים טהורים שם מ"ח, וע"ש בחרד"ן; תפא"י בועז שם, ושלכן לא נקטו בתוספ' וברמב"ם שם אלא משא. ועי' ר"י קורקוס ותפא"י שם, שלכן נקטו שמטמא במשא בסתם, ומ' טומאה גמורה, ולא כמים פסולים, שאין טומאתם גמורה, עי' ציון 1272 ואילך. ועי' חזו"א שם סי' ט ס"ק יח, שתמה שאם הם כשרים בעצם, שיטמאו אף במגע, ועי' תפא"י שם, שבמגע יש דין נוגע במי הנדה, שמ' שדוקא כשאינם בתערובת, ולכך אף לסוברים שהם כשרים מה"ת, עי' ציון 747, אינם מטמאים במגע, ועי' תולדות אדם שבציון 1339, לשיטתו בציון הנ"ל, שתולים שנגע במים שנתערבו. ועי' חזו"א שם, שנ' שכוונתו שלשיטתו בציון 733, א"א שיטמא אף במשא, כיון שמחמת התערובת נפסל לגמרי, וצ"ב שמה"ת אינו נפסל, ועי' לעיל.</w:t>
      </w:r>
    </w:p>
  </w:footnote>
  <w:footnote w:id="1338">
    <w:p w14:paraId="3A0CFBD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1338</w:t>
      </w:r>
      <w:r>
        <w:rPr>
          <w:rFonts w:ascii="David" w:hAnsi="David" w:cs="David"/>
          <w:sz w:val="24"/>
          <w:szCs w:val="24"/>
          <w:rtl/>
        </w:rPr>
        <w:t xml:space="preserve"> </w:t>
      </w:r>
      <w:r>
        <w:rPr>
          <w:rFonts w:ascii="David" w:hAnsi="David" w:cs="David"/>
          <w:color w:val="000000"/>
          <w:sz w:val="18"/>
          <w:szCs w:val="18"/>
          <w:rtl/>
        </w:rPr>
        <w:t>. עי' ציון 1126. תפא"י שם, וע"ש שנ"מ בכך שאין בהם מגע, בכלים שאינם נטמאים במשא, וע"ש לענין מים קרושים, ועי' ציון 1128 ואילך. ועי' חזו"א שם, שנ"מ כשאין בהם שיעור הזאה, עי' ציון 1107.</w:t>
      </w:r>
    </w:p>
  </w:footnote>
  <w:footnote w:id="1339">
    <w:p w14:paraId="1F261E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1339</w:t>
      </w:r>
      <w:r>
        <w:rPr>
          <w:rFonts w:ascii="David" w:hAnsi="David" w:cs="David"/>
          <w:sz w:val="24"/>
          <w:szCs w:val="24"/>
          <w:rtl/>
        </w:rPr>
        <w:t xml:space="preserve"> </w:t>
      </w:r>
      <w:r>
        <w:rPr>
          <w:rFonts w:ascii="David" w:hAnsi="David" w:cs="David"/>
          <w:color w:val="000000"/>
          <w:sz w:val="18"/>
          <w:szCs w:val="18"/>
          <w:rtl/>
        </w:rPr>
        <w:t>. תולדות אדם לספרי חקת פיס' קכט, בד' ר"י קורקוס שם. וע"ש שכ"ה אף על פי שלהלכה יש בילה בלח, ע"ע בילה ציון 34. ולכאו' הטעם שתולים להקל, משום חזקת טהרה, ע"ע חזקה (ב) ציון 99 ואילך, וצ"ב למה אין הולכים אחר רוב המים הכשרים.</w:t>
      </w:r>
    </w:p>
  </w:footnote>
  <w:footnote w:id="1340">
    <w:p w14:paraId="1463717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1340</w:t>
      </w:r>
      <w:r>
        <w:rPr>
          <w:rFonts w:ascii="David" w:hAnsi="David" w:cs="David"/>
          <w:sz w:val="24"/>
          <w:szCs w:val="24"/>
          <w:rtl/>
        </w:rPr>
        <w:t xml:space="preserve"> </w:t>
      </w:r>
      <w:r>
        <w:rPr>
          <w:rFonts w:ascii="David" w:hAnsi="David" w:cs="David"/>
          <w:color w:val="000000"/>
          <w:sz w:val="18"/>
          <w:szCs w:val="18"/>
          <w:rtl/>
        </w:rPr>
        <w:t>. עי' חי' הר"ן פסחים שם, שפרה ששתתה מי חטאת, אף כשהם בפיה אינם מטמאים משום שנתערבו, ומ' שאף במשא; עי' חס"ד כלים פ"א ה"ב, וכעי"ז בסד"ט כלים דף כו ע"ב, ועי' להלן; עי' חזו"א שם, ושם שכ"ד הרמב"ם שם, וכעי"ז בחזו"א סי' ה שם, ושם שע"כ אין מטמאים מה"ת, שנפסלו בהיסה"ד. ועי' ציון 1333, אם לדעתם נפסל מה"ת ע"י תערובת. ועי' אחרונים שבציון 1295, שהואיל והפסול בתערובת הוא מדרבנן מטמאים מה"ת, ומ' שאם היה פסול מה"ת לא היו מטמאים.</w:t>
      </w:r>
    </w:p>
  </w:footnote>
  <w:footnote w:id="1341">
    <w:p w14:paraId="4604B18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1341</w:t>
      </w:r>
      <w:r>
        <w:rPr>
          <w:rFonts w:ascii="David" w:hAnsi="David" w:cs="David"/>
          <w:sz w:val="24"/>
          <w:szCs w:val="24"/>
          <w:rtl/>
        </w:rPr>
        <w:t xml:space="preserve"> </w:t>
      </w:r>
      <w:r>
        <w:rPr>
          <w:rFonts w:ascii="David" w:hAnsi="David" w:cs="David"/>
          <w:color w:val="000000"/>
          <w:sz w:val="18"/>
          <w:szCs w:val="18"/>
          <w:rtl/>
        </w:rPr>
        <w:t>. עי' ציון 1230 ואילך, שהפסולים מטמאים מדרבנן. עי' חס"ד וסד"ט שם. ועי' ר"ן שם, שנקט שטהור אף מדרבנן (אלא שמטמא טומאת משקים, עי' ציון 1311 ואילך), וצ"ל שאינו כשאר פסולים, כיון שהולך לאיבוד, עי' ציון 1253 ואילך, ולכן בתוספתא דלעיל טמאו, כיון שדנה בשאר תערובת, וכ"כ בחזו"א שם. ועי' ציון 1369.</w:t>
      </w:r>
    </w:p>
  </w:footnote>
  <w:footnote w:id="1342">
    <w:p w14:paraId="3D1A827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1342</w:t>
      </w:r>
      <w:r>
        <w:rPr>
          <w:rFonts w:ascii="David" w:hAnsi="David" w:cs="David"/>
          <w:sz w:val="24"/>
          <w:szCs w:val="24"/>
          <w:rtl/>
        </w:rPr>
        <w:t xml:space="preserve"> </w:t>
      </w:r>
      <w:r>
        <w:rPr>
          <w:rFonts w:ascii="David" w:hAnsi="David" w:cs="David"/>
          <w:color w:val="000000"/>
          <w:sz w:val="18"/>
          <w:szCs w:val="18"/>
          <w:rtl/>
        </w:rPr>
        <w:t>. עי' ציון 1226.</w:t>
      </w:r>
    </w:p>
  </w:footnote>
  <w:footnote w:id="1343">
    <w:p w14:paraId="3D0B2E6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1343</w:t>
      </w:r>
      <w:r>
        <w:rPr>
          <w:rFonts w:ascii="David" w:hAnsi="David" w:cs="David"/>
          <w:sz w:val="24"/>
          <w:szCs w:val="24"/>
          <w:rtl/>
        </w:rPr>
        <w:t xml:space="preserve"> </w:t>
      </w:r>
      <w:r>
        <w:rPr>
          <w:rFonts w:ascii="David" w:hAnsi="David" w:cs="David"/>
          <w:color w:val="000000"/>
          <w:sz w:val="18"/>
          <w:szCs w:val="18"/>
          <w:rtl/>
        </w:rPr>
        <w:t>. עי' ציון 1228, וע"ש הטעם.</w:t>
      </w:r>
    </w:p>
  </w:footnote>
  <w:footnote w:id="1344">
    <w:p w14:paraId="7100CB5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1344</w:t>
      </w:r>
      <w:r>
        <w:rPr>
          <w:rFonts w:ascii="David" w:hAnsi="David" w:cs="David"/>
          <w:sz w:val="24"/>
          <w:szCs w:val="24"/>
          <w:rtl/>
        </w:rPr>
        <w:t xml:space="preserve"> </w:t>
      </w:r>
      <w:r>
        <w:rPr>
          <w:rFonts w:ascii="David" w:hAnsi="David" w:cs="David"/>
          <w:color w:val="000000"/>
          <w:sz w:val="18"/>
          <w:szCs w:val="18"/>
          <w:rtl/>
        </w:rPr>
        <w:t>. חס"ד שם, וכעי"ז בסד"ט שם. ועי' חס"ד שם, שנ' שפי' כן בכוונת הר"ש, וצ"ב מר"ש שבציון 1334.</w:t>
      </w:r>
    </w:p>
  </w:footnote>
  <w:footnote w:id="1345">
    <w:p w14:paraId="468678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1345</w:t>
      </w:r>
      <w:r>
        <w:rPr>
          <w:rFonts w:ascii="David" w:hAnsi="David" w:cs="David"/>
          <w:sz w:val="24"/>
          <w:szCs w:val="24"/>
          <w:rtl/>
        </w:rPr>
        <w:t xml:space="preserve"> </w:t>
      </w:r>
      <w:r>
        <w:rPr>
          <w:rFonts w:ascii="David" w:hAnsi="David" w:cs="David"/>
          <w:color w:val="000000"/>
          <w:sz w:val="18"/>
          <w:szCs w:val="18"/>
          <w:rtl/>
        </w:rPr>
        <w:t>. עי' פרה פ"ט מ"ה. ועי' דעת יוסף שם, במים כשרים, ועי' עמק הנצי"ב חקת עמ' קסא, שאף כשרים ודאי נפסלים כשגיבלם בטיט, ע"ש כמה טעמים. ועי' ציון 1359, בטעם שחלוק מפרה ששתתה מי חטאת, עי' ציון 1251 ואילך.</w:t>
      </w:r>
    </w:p>
  </w:footnote>
  <w:footnote w:id="1346">
    <w:p w14:paraId="2FC4700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1346</w:t>
      </w:r>
      <w:r>
        <w:rPr>
          <w:rFonts w:ascii="David" w:hAnsi="David" w:cs="David"/>
          <w:sz w:val="24"/>
          <w:szCs w:val="24"/>
          <w:rtl/>
        </w:rPr>
        <w:t xml:space="preserve"> </w:t>
      </w:r>
      <w:r>
        <w:rPr>
          <w:rFonts w:ascii="David" w:hAnsi="David" w:cs="David"/>
          <w:color w:val="000000"/>
          <w:sz w:val="18"/>
          <w:szCs w:val="18"/>
          <w:rtl/>
        </w:rPr>
        <w:t>. תפא"י שם אות לו, ועי' להלן שכ"ד ר"י. ועי' ציון 1362, שדעתו שהוא משום שיש לחוש שנשאר משקה טופח, ועי' להלן.</w:t>
      </w:r>
    </w:p>
  </w:footnote>
  <w:footnote w:id="1347">
    <w:p w14:paraId="1E09EFF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1347</w:t>
      </w:r>
      <w:r>
        <w:rPr>
          <w:rFonts w:ascii="David" w:hAnsi="David" w:cs="David"/>
          <w:sz w:val="24"/>
          <w:szCs w:val="24"/>
          <w:rtl/>
        </w:rPr>
        <w:t xml:space="preserve"> </w:t>
      </w:r>
      <w:r>
        <w:rPr>
          <w:rFonts w:ascii="David" w:hAnsi="David" w:cs="David"/>
          <w:color w:val="000000"/>
          <w:sz w:val="18"/>
          <w:szCs w:val="18"/>
          <w:rtl/>
        </w:rPr>
        <w:t>. ציון 1231.</w:t>
      </w:r>
    </w:p>
  </w:footnote>
  <w:footnote w:id="1348">
    <w:p w14:paraId="7E47BE8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1348</w:t>
      </w:r>
      <w:r>
        <w:rPr>
          <w:rFonts w:ascii="David" w:hAnsi="David" w:cs="David"/>
          <w:sz w:val="24"/>
          <w:szCs w:val="24"/>
          <w:rtl/>
        </w:rPr>
        <w:t xml:space="preserve"> </w:t>
      </w:r>
      <w:r>
        <w:rPr>
          <w:rFonts w:ascii="David" w:hAnsi="David" w:cs="David"/>
          <w:color w:val="000000"/>
          <w:sz w:val="18"/>
          <w:szCs w:val="18"/>
          <w:rtl/>
        </w:rPr>
        <w:t>. במדבר יט ט. רמב"ם פרה פט"ו ה"ו ובפהמ"ש שם, ע"פ ספרי חקת פיס' קכד, לענין פרה ששתתה מי חטאת, עי' ציון 1244 ואילך, ועי' ספרי שם שהובא הכתוב: והיתה לעדת בני ישראל, וצ"ב אם היתה לרמב"ם גי' אחרת, או שפירש שהלימוד הוא מהמשך הכתוב. ואפשר שאף אם נשאר משקה טופח (עי' לעיל), היה לו להתבטל, לולא הלימוד מהכתוב. ועי' ציונים 1237, 1363.</w:t>
      </w:r>
    </w:p>
  </w:footnote>
  <w:footnote w:id="1349">
    <w:p w14:paraId="21644A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1349</w:t>
      </w:r>
      <w:r>
        <w:rPr>
          <w:rFonts w:ascii="David" w:hAnsi="David" w:cs="David"/>
          <w:sz w:val="24"/>
          <w:szCs w:val="24"/>
          <w:rtl/>
        </w:rPr>
        <w:t xml:space="preserve"> </w:t>
      </w:r>
      <w:r>
        <w:rPr>
          <w:rFonts w:ascii="David" w:hAnsi="David" w:cs="David"/>
          <w:color w:val="000000"/>
          <w:sz w:val="18"/>
          <w:szCs w:val="18"/>
          <w:rtl/>
        </w:rPr>
        <w:t>. תפא"י הלכתא גבירתא שם; דעת יוסף שם.</w:t>
      </w:r>
    </w:p>
  </w:footnote>
  <w:footnote w:id="1350">
    <w:p w14:paraId="1F90E9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1350</w:t>
      </w:r>
      <w:r>
        <w:rPr>
          <w:rFonts w:ascii="David" w:hAnsi="David" w:cs="David"/>
          <w:sz w:val="24"/>
          <w:szCs w:val="24"/>
          <w:rtl/>
        </w:rPr>
        <w:t xml:space="preserve"> </w:t>
      </w:r>
      <w:r>
        <w:rPr>
          <w:rFonts w:ascii="David" w:hAnsi="David" w:cs="David"/>
          <w:color w:val="000000"/>
          <w:sz w:val="18"/>
          <w:szCs w:val="18"/>
          <w:rtl/>
        </w:rPr>
        <w:t>. פהמ"ש לרמב"ם שם.</w:t>
      </w:r>
    </w:p>
  </w:footnote>
  <w:footnote w:id="1351">
    <w:p w14:paraId="154E042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1351</w:t>
      </w:r>
      <w:r>
        <w:rPr>
          <w:rFonts w:ascii="David" w:hAnsi="David" w:cs="David"/>
          <w:sz w:val="24"/>
          <w:szCs w:val="24"/>
          <w:rtl/>
        </w:rPr>
        <w:t xml:space="preserve"> </w:t>
      </w:r>
      <w:r>
        <w:rPr>
          <w:rFonts w:ascii="David" w:hAnsi="David" w:cs="David"/>
          <w:color w:val="000000"/>
          <w:sz w:val="18"/>
          <w:szCs w:val="18"/>
          <w:rtl/>
        </w:rPr>
        <w:t>. עי' חזו"א דלהלן, שכ"ה לענין מים הטמאים בשאר טומאות.</w:t>
      </w:r>
    </w:p>
  </w:footnote>
  <w:footnote w:id="1352">
    <w:p w14:paraId="6D02AE8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1352</w:t>
      </w:r>
      <w:r>
        <w:rPr>
          <w:rFonts w:ascii="David" w:hAnsi="David" w:cs="David"/>
          <w:sz w:val="24"/>
          <w:szCs w:val="24"/>
          <w:rtl/>
        </w:rPr>
        <w:t xml:space="preserve"> </w:t>
      </w:r>
      <w:r>
        <w:rPr>
          <w:rFonts w:ascii="David" w:hAnsi="David" w:cs="David"/>
          <w:color w:val="000000"/>
          <w:sz w:val="18"/>
          <w:szCs w:val="18"/>
          <w:rtl/>
        </w:rPr>
        <w:t>. עי' ציון 1246. עי' חזו"א פרה סי' יג ס"ק ז, ועי' להלן.</w:t>
      </w:r>
    </w:p>
  </w:footnote>
  <w:footnote w:id="1353">
    <w:p w14:paraId="1AEE40C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1353</w:t>
      </w:r>
      <w:r>
        <w:rPr>
          <w:rFonts w:ascii="David" w:hAnsi="David" w:cs="David"/>
          <w:sz w:val="24"/>
          <w:szCs w:val="24"/>
          <w:rtl/>
        </w:rPr>
        <w:t xml:space="preserve"> </w:t>
      </w:r>
      <w:r>
        <w:rPr>
          <w:rFonts w:ascii="David" w:hAnsi="David" w:cs="David"/>
          <w:color w:val="000000"/>
          <w:sz w:val="18"/>
          <w:szCs w:val="18"/>
          <w:rtl/>
        </w:rPr>
        <w:t>. משנה שם. ועי' דעת יוסף שם, במים כשרים.</w:t>
      </w:r>
    </w:p>
  </w:footnote>
  <w:footnote w:id="1354">
    <w:p w14:paraId="4137833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1354</w:t>
      </w:r>
      <w:r>
        <w:rPr>
          <w:rFonts w:ascii="David" w:hAnsi="David" w:cs="David"/>
          <w:sz w:val="24"/>
          <w:szCs w:val="24"/>
          <w:rtl/>
        </w:rPr>
        <w:t xml:space="preserve"> </w:t>
      </w:r>
      <w:r>
        <w:rPr>
          <w:rFonts w:ascii="David" w:hAnsi="David" w:cs="David"/>
          <w:color w:val="000000"/>
          <w:sz w:val="18"/>
          <w:szCs w:val="18"/>
          <w:rtl/>
        </w:rPr>
        <w:t>. ר"ש שם; רע"ב שם.</w:t>
      </w:r>
    </w:p>
  </w:footnote>
  <w:footnote w:id="1355">
    <w:p w14:paraId="09B25B1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1355</w:t>
      </w:r>
      <w:r>
        <w:rPr>
          <w:rFonts w:ascii="David" w:hAnsi="David" w:cs="David"/>
          <w:sz w:val="24"/>
          <w:szCs w:val="24"/>
          <w:rtl/>
        </w:rPr>
        <w:t xml:space="preserve"> </w:t>
      </w:r>
      <w:r>
        <w:rPr>
          <w:rFonts w:ascii="David" w:hAnsi="David" w:cs="David"/>
          <w:color w:val="000000"/>
          <w:sz w:val="18"/>
          <w:szCs w:val="18"/>
          <w:rtl/>
        </w:rPr>
        <w:t>. עמק הנצי"ב שם.</w:t>
      </w:r>
    </w:p>
  </w:footnote>
  <w:footnote w:id="1356">
    <w:p w14:paraId="1A5CF6A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1356</w:t>
      </w:r>
      <w:r>
        <w:rPr>
          <w:rFonts w:ascii="David" w:hAnsi="David" w:cs="David"/>
          <w:sz w:val="24"/>
          <w:szCs w:val="24"/>
          <w:rtl/>
        </w:rPr>
        <w:t xml:space="preserve"> </w:t>
      </w:r>
      <w:r>
        <w:rPr>
          <w:rFonts w:ascii="David" w:hAnsi="David" w:cs="David"/>
          <w:color w:val="000000"/>
          <w:sz w:val="18"/>
          <w:szCs w:val="18"/>
          <w:rtl/>
        </w:rPr>
        <w:t>. תפא"י שם אות לח. ועי' בדבריו שבציון 1362, שאף אם נשאר על הטיט מים לחים, אינם מטמאים.</w:t>
      </w:r>
    </w:p>
  </w:footnote>
  <w:footnote w:id="1357">
    <w:p w14:paraId="7B6ECC6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1357</w:t>
      </w:r>
      <w:r>
        <w:rPr>
          <w:rFonts w:ascii="David" w:hAnsi="David" w:cs="David"/>
          <w:sz w:val="24"/>
          <w:szCs w:val="24"/>
          <w:rtl/>
        </w:rPr>
        <w:t xml:space="preserve"> </w:t>
      </w:r>
      <w:r>
        <w:rPr>
          <w:rFonts w:ascii="David" w:hAnsi="David" w:cs="David"/>
          <w:color w:val="000000"/>
          <w:sz w:val="18"/>
          <w:szCs w:val="18"/>
          <w:rtl/>
        </w:rPr>
        <w:t>. עי' ציון 1246.</w:t>
      </w:r>
    </w:p>
  </w:footnote>
  <w:footnote w:id="1358">
    <w:p w14:paraId="64A3F7D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1358</w:t>
      </w:r>
      <w:r>
        <w:rPr>
          <w:rFonts w:ascii="David" w:hAnsi="David" w:cs="David"/>
          <w:sz w:val="24"/>
          <w:szCs w:val="24"/>
          <w:rtl/>
        </w:rPr>
        <w:t xml:space="preserve"> </w:t>
      </w:r>
      <w:r>
        <w:rPr>
          <w:rFonts w:ascii="David" w:hAnsi="David" w:cs="David"/>
          <w:color w:val="000000"/>
          <w:sz w:val="18"/>
          <w:szCs w:val="18"/>
          <w:rtl/>
        </w:rPr>
        <w:t>. חזו"א שם, ועי' ציון 1369, שיש שנ' שפי' בע"א. ועי' ציון 1352, בד' חכמים.</w:t>
      </w:r>
    </w:p>
  </w:footnote>
  <w:footnote w:id="1359">
    <w:p w14:paraId="0168A3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1359</w:t>
      </w:r>
      <w:r>
        <w:rPr>
          <w:rFonts w:ascii="David" w:hAnsi="David" w:cs="David"/>
          <w:sz w:val="24"/>
          <w:szCs w:val="24"/>
          <w:rtl/>
        </w:rPr>
        <w:t xml:space="preserve"> </w:t>
      </w:r>
      <w:r>
        <w:rPr>
          <w:rFonts w:ascii="David" w:hAnsi="David" w:cs="David"/>
          <w:color w:val="000000"/>
          <w:sz w:val="18"/>
          <w:szCs w:val="18"/>
          <w:rtl/>
        </w:rPr>
        <w:t>. רמב"ם שם. וע"ש ה"ז, שלענין פרה ששתתה מי חטאת פסק כר' יהודה שם, שבטלו במעיה, וע"ש שהטעם מפני שנאמר "למשמרת" ואלו אינם שמורים, ועי' ציון 1245 שהיינו משום היסה"ד, ועי' מער"ק שם שתמה מדוע לענין נתערבו בטיט לא טיהר מטעם זה, (ולכאו' הקו' לד"ה שאף לת"ק שם אינו טמא משום מי חטאת אפי' מדרבנן, עי' ציון 1251 ואילך), ועי' ערה"ש פרה סי' עח סט"ו, שהמים משתמרים בטיט יותר ממעיה, ועוד שלעיתים אפשר לסננם, וכעי"ז בצל"ח פסחים שם: שיותר נשאר שם מי חטאת בטיט מבמעי פרה, ועי' עמק הנצי"ב והלכתא גבירתא שם ויד דוד פסחים שם, ועי' ציון 1255, ועי' דעת יוסף שמחלק שפרה שתתה מאליה, משא"כ גיבול בטיט נעשה ע"י אדם, ועי' ציון 1316, שי"מ טעם ההיתר בפרה ששתתה מי חטאת בע"א.</w:t>
      </w:r>
    </w:p>
  </w:footnote>
  <w:footnote w:id="1360">
    <w:p w14:paraId="2656BF3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1360</w:t>
      </w:r>
      <w:r>
        <w:rPr>
          <w:rFonts w:ascii="David" w:hAnsi="David" w:cs="David"/>
          <w:sz w:val="24"/>
          <w:szCs w:val="24"/>
          <w:rtl/>
        </w:rPr>
        <w:t xml:space="preserve"> </w:t>
      </w:r>
      <w:r>
        <w:rPr>
          <w:rFonts w:ascii="David" w:hAnsi="David" w:cs="David"/>
          <w:color w:val="000000"/>
          <w:sz w:val="18"/>
          <w:szCs w:val="18"/>
          <w:rtl/>
        </w:rPr>
        <w:t>. עי' לעיל.</w:t>
      </w:r>
    </w:p>
  </w:footnote>
  <w:footnote w:id="1361">
    <w:p w14:paraId="68F1C7B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1361</w:t>
      </w:r>
      <w:r>
        <w:rPr>
          <w:rFonts w:ascii="David" w:hAnsi="David" w:cs="David"/>
          <w:sz w:val="24"/>
          <w:szCs w:val="24"/>
          <w:rtl/>
        </w:rPr>
        <w:t xml:space="preserve"> </w:t>
      </w:r>
      <w:r>
        <w:rPr>
          <w:rFonts w:ascii="David" w:hAnsi="David" w:cs="David"/>
          <w:color w:val="000000"/>
          <w:sz w:val="18"/>
          <w:szCs w:val="18"/>
          <w:rtl/>
        </w:rPr>
        <w:t>. עי' ציון 1329. ק"ס פרה פט"ו; תפא"י פרה פ"ט אות לז, ועי' להלן.</w:t>
      </w:r>
    </w:p>
  </w:footnote>
  <w:footnote w:id="1362">
    <w:p w14:paraId="1E889C8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1362</w:t>
      </w:r>
      <w:r>
        <w:rPr>
          <w:rFonts w:ascii="David" w:hAnsi="David" w:cs="David"/>
          <w:sz w:val="24"/>
          <w:szCs w:val="24"/>
          <w:rtl/>
        </w:rPr>
        <w:t xml:space="preserve"> </w:t>
      </w:r>
      <w:r>
        <w:rPr>
          <w:rFonts w:ascii="David" w:hAnsi="David" w:cs="David"/>
          <w:color w:val="000000"/>
          <w:sz w:val="18"/>
          <w:szCs w:val="18"/>
          <w:rtl/>
        </w:rPr>
        <w:t>. ק"ס שם; תפא"י שם, וע"ש אות לח ובהלכתא גבירתא שם, שאף אם רוב מים, אם אין משקה טופח עליהם, חשובים כעפר ואין מטמאים, ועי' ציון 1233.</w:t>
      </w:r>
    </w:p>
  </w:footnote>
  <w:footnote w:id="1363">
    <w:p w14:paraId="79EAAB2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1363</w:t>
      </w:r>
      <w:r>
        <w:rPr>
          <w:rFonts w:ascii="David" w:hAnsi="David" w:cs="David"/>
          <w:sz w:val="24"/>
          <w:szCs w:val="24"/>
          <w:rtl/>
        </w:rPr>
        <w:t xml:space="preserve"> </w:t>
      </w:r>
      <w:r>
        <w:rPr>
          <w:rFonts w:ascii="David" w:hAnsi="David" w:cs="David"/>
          <w:color w:val="000000"/>
          <w:sz w:val="18"/>
          <w:szCs w:val="18"/>
          <w:rtl/>
        </w:rPr>
        <w:t>. עי' הלכתא גבירתא שם, בד' פהמ"ש שבציון 1348 ואילך.</w:t>
      </w:r>
    </w:p>
  </w:footnote>
  <w:footnote w:id="1364">
    <w:p w14:paraId="3AB5FB5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1364</w:t>
      </w:r>
      <w:r>
        <w:rPr>
          <w:rFonts w:ascii="David" w:hAnsi="David" w:cs="David"/>
          <w:sz w:val="24"/>
          <w:szCs w:val="24"/>
          <w:rtl/>
        </w:rPr>
        <w:t xml:space="preserve"> </w:t>
      </w:r>
      <w:r>
        <w:rPr>
          <w:rFonts w:ascii="David" w:hAnsi="David" w:cs="David"/>
          <w:color w:val="000000"/>
          <w:sz w:val="18"/>
          <w:szCs w:val="18"/>
          <w:rtl/>
        </w:rPr>
        <w:t>. ע"ע בטול ברוב ציון 19 ואילך, וע"ש אם מה"ת אינו בטל או מדרבנן. מער"ק שם ה"ו; עמק הנצי"ב חקת עמ' קסא.</w:t>
      </w:r>
    </w:p>
  </w:footnote>
  <w:footnote w:id="1365">
    <w:p w14:paraId="7279487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1365</w:t>
      </w:r>
      <w:r>
        <w:rPr>
          <w:rFonts w:ascii="David" w:hAnsi="David" w:cs="David"/>
          <w:sz w:val="24"/>
          <w:szCs w:val="24"/>
          <w:rtl/>
        </w:rPr>
        <w:t xml:space="preserve"> </w:t>
      </w:r>
      <w:r>
        <w:rPr>
          <w:rFonts w:ascii="David" w:hAnsi="David" w:cs="David"/>
          <w:color w:val="000000"/>
          <w:sz w:val="18"/>
          <w:szCs w:val="18"/>
          <w:rtl/>
        </w:rPr>
        <w:t>. פרה פי"ב מ"ד; תוספתא שם פי"ב, ועי' להלן; רמב"ם פרה פט"ו ה"א. ועי' מק"ד טהרות סי' נא סוף אות ד, שמ"מ טומאה קלה מטמאים, עי' ציון 1311, והק' שבתוספ' נ' לא כן.</w:t>
      </w:r>
    </w:p>
  </w:footnote>
  <w:footnote w:id="1366">
    <w:p w14:paraId="31DF19F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1366</w:t>
      </w:r>
      <w:r>
        <w:rPr>
          <w:rFonts w:ascii="David" w:hAnsi="David" w:cs="David"/>
          <w:sz w:val="24"/>
          <w:szCs w:val="24"/>
          <w:rtl/>
        </w:rPr>
        <w:t xml:space="preserve"> </w:t>
      </w:r>
      <w:r>
        <w:rPr>
          <w:rFonts w:ascii="David" w:hAnsi="David" w:cs="David"/>
          <w:color w:val="000000"/>
          <w:sz w:val="18"/>
          <w:szCs w:val="18"/>
          <w:rtl/>
        </w:rPr>
        <w:t>. עי' משנה ותוספ' שם, ור"ש ורע"ב שם, ורמב"ם שם ה"ח, ועי' ציון 1383. ועי' תוי"ט שם וציונים 1368, 1413, מה הוא חלון של רבים, ולמה הוזכר במשנה.</w:t>
      </w:r>
    </w:p>
  </w:footnote>
  <w:footnote w:id="1367">
    <w:p w14:paraId="56F2D1F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1367</w:t>
      </w:r>
      <w:r>
        <w:rPr>
          <w:rFonts w:ascii="David" w:hAnsi="David" w:cs="David"/>
          <w:sz w:val="24"/>
          <w:szCs w:val="24"/>
          <w:rtl/>
        </w:rPr>
        <w:t xml:space="preserve"> </w:t>
      </w:r>
      <w:r>
        <w:rPr>
          <w:rFonts w:ascii="David" w:hAnsi="David" w:cs="David"/>
          <w:color w:val="000000"/>
          <w:sz w:val="18"/>
          <w:szCs w:val="18"/>
          <w:rtl/>
        </w:rPr>
        <w:t>. רמב"ם שם ובפהמ"ש שם, ושם: או מתעסקים בקדשים. וע"ע טמאת מקדש וקדשיו ציונים 5 ואילך, 31 ואילך, שטמא אסור להיכנס למקדש ולאכול קדשים.</w:t>
      </w:r>
    </w:p>
  </w:footnote>
  <w:footnote w:id="1368">
    <w:p w14:paraId="3C6D0EE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1368</w:t>
      </w:r>
      <w:r>
        <w:rPr>
          <w:rFonts w:ascii="David" w:hAnsi="David" w:cs="David"/>
          <w:sz w:val="24"/>
          <w:szCs w:val="24"/>
          <w:rtl/>
        </w:rPr>
        <w:t xml:space="preserve"> </w:t>
      </w:r>
      <w:r>
        <w:rPr>
          <w:rFonts w:ascii="David" w:hAnsi="David" w:cs="David"/>
          <w:color w:val="000000"/>
          <w:sz w:val="18"/>
          <w:szCs w:val="18"/>
          <w:rtl/>
        </w:rPr>
        <w:t>. רמב"ם שם, ועי' תוי"ט שם, שלד' הרמב"ם דוקא בחלון שמזים שם על רבים אין לחוש לזה, ועי' ציון 1413.</w:t>
      </w:r>
    </w:p>
  </w:footnote>
  <w:footnote w:id="1369">
    <w:p w14:paraId="3EE078A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1369</w:t>
      </w:r>
      <w:r>
        <w:rPr>
          <w:rFonts w:ascii="David" w:hAnsi="David" w:cs="David"/>
          <w:sz w:val="24"/>
          <w:szCs w:val="24"/>
          <w:rtl/>
        </w:rPr>
        <w:t xml:space="preserve"> </w:t>
      </w:r>
      <w:r>
        <w:rPr>
          <w:rFonts w:ascii="David" w:hAnsi="David" w:cs="David"/>
          <w:color w:val="000000"/>
          <w:sz w:val="18"/>
          <w:szCs w:val="18"/>
          <w:rtl/>
        </w:rPr>
        <w:t>. ראב"ד שם, ועי' ציונים 1389, 1395, 1400. ועי' או"ש שם, שלר"י שמב"מ אינו בטל, ע"ע בטול אסורים וע' מין במינו, היו מחליקים משום שבטל לשיטתו לעיל ציון 1353, וצ"ל שהוא סובר שלר"י לא גזרו טומאה בפסול כשנתערב, ועי' ציונים 1341, 1358. ועי' חזו"א פרה סי' טו סוס"ק ט.</w:t>
      </w:r>
    </w:p>
  </w:footnote>
  <w:footnote w:id="1370">
    <w:p w14:paraId="44823B6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1370</w:t>
      </w:r>
      <w:r>
        <w:rPr>
          <w:rFonts w:ascii="David" w:hAnsi="David" w:cs="David"/>
          <w:sz w:val="24"/>
          <w:szCs w:val="24"/>
          <w:rtl/>
        </w:rPr>
        <w:t xml:space="preserve"> </w:t>
      </w:r>
      <w:r>
        <w:rPr>
          <w:rFonts w:ascii="David" w:hAnsi="David" w:cs="David"/>
          <w:color w:val="000000"/>
          <w:sz w:val="18"/>
          <w:szCs w:val="18"/>
          <w:rtl/>
        </w:rPr>
        <w:t>. במדבר יט כא.</w:t>
      </w:r>
    </w:p>
  </w:footnote>
  <w:footnote w:id="1371">
    <w:p w14:paraId="532D74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1371</w:t>
      </w:r>
      <w:r>
        <w:rPr>
          <w:rFonts w:ascii="David" w:hAnsi="David" w:cs="David"/>
          <w:sz w:val="24"/>
          <w:szCs w:val="24"/>
          <w:rtl/>
        </w:rPr>
        <w:t xml:space="preserve"> </w:t>
      </w:r>
      <w:r>
        <w:rPr>
          <w:rFonts w:ascii="David" w:hAnsi="David" w:cs="David"/>
          <w:color w:val="000000"/>
          <w:sz w:val="18"/>
          <w:szCs w:val="18"/>
          <w:rtl/>
        </w:rPr>
        <w:t>. עי' ק"ס שם.</w:t>
      </w:r>
    </w:p>
  </w:footnote>
  <w:footnote w:id="1372">
    <w:p w14:paraId="11DC029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1372</w:t>
      </w:r>
      <w:r>
        <w:rPr>
          <w:rFonts w:ascii="David" w:hAnsi="David" w:cs="David"/>
          <w:sz w:val="24"/>
          <w:szCs w:val="24"/>
          <w:rtl/>
        </w:rPr>
        <w:t xml:space="preserve"> </w:t>
      </w:r>
      <w:r>
        <w:rPr>
          <w:rFonts w:ascii="David" w:hAnsi="David" w:cs="David"/>
          <w:color w:val="000000"/>
          <w:sz w:val="18"/>
          <w:szCs w:val="18"/>
          <w:rtl/>
        </w:rPr>
        <w:t>. עי' רמב"ם שם ה"א, וע"ש פ"י ה"ט; עי' תוס' ר"י הלבן יומא יד א; אחרונים דלהלן; עי' תפא"י פרה פ"ו אות יח ופי"ב שם. וכ"מ במשנ"א פרה שם. ועי' ציון 1237, שי"ס שאף מים שנפסלו מטמאים.</w:t>
      </w:r>
    </w:p>
  </w:footnote>
  <w:footnote w:id="1373">
    <w:p w14:paraId="405B058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1373</w:t>
      </w:r>
      <w:r>
        <w:rPr>
          <w:rFonts w:ascii="David" w:hAnsi="David" w:cs="David"/>
          <w:sz w:val="24"/>
          <w:szCs w:val="24"/>
          <w:rtl/>
        </w:rPr>
        <w:t xml:space="preserve"> </w:t>
      </w:r>
      <w:r>
        <w:rPr>
          <w:rFonts w:ascii="David" w:hAnsi="David" w:cs="David"/>
          <w:color w:val="000000"/>
          <w:sz w:val="18"/>
          <w:szCs w:val="18"/>
          <w:rtl/>
        </w:rPr>
        <w:t>. מק"ד דלהלן. ועי' ציון 93.</w:t>
      </w:r>
    </w:p>
  </w:footnote>
  <w:footnote w:id="1374">
    <w:p w14:paraId="7EF02D9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1374</w:t>
      </w:r>
      <w:r>
        <w:rPr>
          <w:rFonts w:ascii="David" w:hAnsi="David" w:cs="David"/>
          <w:sz w:val="24"/>
          <w:szCs w:val="24"/>
          <w:rtl/>
        </w:rPr>
        <w:t xml:space="preserve"> </w:t>
      </w:r>
      <w:r>
        <w:rPr>
          <w:rFonts w:ascii="David" w:hAnsi="David" w:cs="David"/>
          <w:color w:val="000000"/>
          <w:sz w:val="18"/>
          <w:szCs w:val="18"/>
          <w:rtl/>
        </w:rPr>
        <w:t>. עי' תו"ח סנהדרין עז א; מק"ד שם; עי' ערה"ש פרה סי' עז ס"י וסי' עח ס"ב. ועי' ערה"ש שם, טעם נוסף, שאין לך דבר שנעשתה מצותו ותהיה לו הקדושה הקודמת.</w:t>
      </w:r>
    </w:p>
  </w:footnote>
  <w:footnote w:id="1375">
    <w:p w14:paraId="5F11C50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1375</w:t>
      </w:r>
      <w:r>
        <w:rPr>
          <w:rFonts w:ascii="David" w:hAnsi="David" w:cs="David"/>
          <w:sz w:val="24"/>
          <w:szCs w:val="24"/>
          <w:rtl/>
        </w:rPr>
        <w:t xml:space="preserve"> </w:t>
      </w:r>
      <w:r>
        <w:rPr>
          <w:rFonts w:ascii="David" w:hAnsi="David" w:cs="David"/>
          <w:color w:val="000000"/>
          <w:sz w:val="18"/>
          <w:szCs w:val="18"/>
          <w:rtl/>
        </w:rPr>
        <w:t>. עי' ציון 1246 ואילך.</w:t>
      </w:r>
    </w:p>
  </w:footnote>
  <w:footnote w:id="1376">
    <w:p w14:paraId="47BFBEC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1376</w:t>
      </w:r>
      <w:r>
        <w:rPr>
          <w:rFonts w:ascii="David" w:hAnsi="David" w:cs="David"/>
          <w:sz w:val="24"/>
          <w:szCs w:val="24"/>
          <w:rtl/>
        </w:rPr>
        <w:t xml:space="preserve"> </w:t>
      </w:r>
      <w:r>
        <w:rPr>
          <w:rFonts w:ascii="David" w:hAnsi="David" w:cs="David"/>
          <w:color w:val="000000"/>
          <w:sz w:val="18"/>
          <w:szCs w:val="18"/>
          <w:rtl/>
        </w:rPr>
        <w:t>. ציון 1257, ועי' להלן.</w:t>
      </w:r>
    </w:p>
  </w:footnote>
  <w:footnote w:id="1377">
    <w:p w14:paraId="2205FAE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1377</w:t>
      </w:r>
      <w:r>
        <w:rPr>
          <w:rFonts w:ascii="David" w:hAnsi="David" w:cs="David"/>
          <w:sz w:val="24"/>
          <w:szCs w:val="24"/>
          <w:rtl/>
        </w:rPr>
        <w:t xml:space="preserve"> </w:t>
      </w:r>
      <w:r>
        <w:rPr>
          <w:rFonts w:ascii="David" w:hAnsi="David" w:cs="David"/>
          <w:color w:val="000000"/>
          <w:sz w:val="18"/>
          <w:szCs w:val="18"/>
          <w:rtl/>
        </w:rPr>
        <w:t>. עדיות פ"ה מ"ג, וע"ש שהיא מקולי ב"ש וחומרי ב"ה. ועי' תוי"ט שם, שי"ג: ר"ש. ועי' ציון 93.</w:t>
      </w:r>
    </w:p>
  </w:footnote>
  <w:footnote w:id="1378">
    <w:p w14:paraId="5A78703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1378</w:t>
      </w:r>
      <w:r>
        <w:rPr>
          <w:rFonts w:ascii="David" w:hAnsi="David" w:cs="David"/>
          <w:sz w:val="24"/>
          <w:szCs w:val="24"/>
          <w:rtl/>
        </w:rPr>
        <w:t xml:space="preserve"> </w:t>
      </w:r>
      <w:r>
        <w:rPr>
          <w:rFonts w:ascii="David" w:hAnsi="David" w:cs="David"/>
          <w:color w:val="000000"/>
          <w:sz w:val="18"/>
          <w:szCs w:val="18"/>
          <w:rtl/>
        </w:rPr>
        <w:t>. עי' מאירי עדויות שם, ועי' תוס' שאנץ שם. ועי' תוס' שאנץ וראב"ד שם, שאף בתוספתא פרה שם (הובאה בר"ש פרה שם מ"ד) נחלקו בזה, וד' ר"ג (ובאור הגנוז שם: רשב"ג) שם שהמים מטמאים אף לאחר זריקה, ועי' בהגר"א שם, ועי' חס"ד שם, שאף תחילת התוספ' שם סוברת כן, ועי' חזו"א שם ס"ק י, שמטמא מדרבנן כמי חטאת פסולים, ועי' ציון 1257.</w:t>
      </w:r>
    </w:p>
  </w:footnote>
  <w:footnote w:id="1379">
    <w:p w14:paraId="59762C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1379</w:t>
      </w:r>
      <w:r>
        <w:rPr>
          <w:rFonts w:ascii="David" w:hAnsi="David" w:cs="David"/>
          <w:sz w:val="24"/>
          <w:szCs w:val="24"/>
          <w:rtl/>
        </w:rPr>
        <w:t xml:space="preserve"> </w:t>
      </w:r>
      <w:r>
        <w:rPr>
          <w:rFonts w:ascii="David" w:hAnsi="David" w:cs="David"/>
          <w:color w:val="000000"/>
          <w:sz w:val="18"/>
          <w:szCs w:val="18"/>
          <w:rtl/>
        </w:rPr>
        <w:t>. עי' שו"ת הרמ"ע מפאנו סי' ק; עי' כס"מ פט"ו שם; תוי"ט פרה שם; ערה"ש שם. ועי' תוי"ט שם, שבעדויות שם מ', שהיא ד' ר' ישמעאל, וחכמים חולקים עליו. ועי' תפא"י שם אות לו.</w:t>
      </w:r>
    </w:p>
  </w:footnote>
  <w:footnote w:id="1380">
    <w:p w14:paraId="25A5468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1380</w:t>
      </w:r>
      <w:r>
        <w:rPr>
          <w:rFonts w:ascii="David" w:hAnsi="David" w:cs="David"/>
          <w:sz w:val="24"/>
          <w:szCs w:val="24"/>
          <w:rtl/>
        </w:rPr>
        <w:t xml:space="preserve"> </w:t>
      </w:r>
      <w:r>
        <w:rPr>
          <w:rFonts w:ascii="David" w:hAnsi="David" w:cs="David"/>
          <w:color w:val="000000"/>
          <w:sz w:val="18"/>
          <w:szCs w:val="18"/>
          <w:rtl/>
        </w:rPr>
        <w:t>. רמב"ם שם ובה"ח וי; סמ"ג עשין רלב; מאירי עדויות שם.</w:t>
      </w:r>
    </w:p>
  </w:footnote>
  <w:footnote w:id="1381">
    <w:p w14:paraId="508E794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1381</w:t>
      </w:r>
      <w:r>
        <w:rPr>
          <w:rFonts w:ascii="David" w:hAnsi="David" w:cs="David"/>
          <w:sz w:val="24"/>
          <w:szCs w:val="24"/>
          <w:rtl/>
        </w:rPr>
        <w:t xml:space="preserve"> </w:t>
      </w:r>
      <w:r>
        <w:rPr>
          <w:rFonts w:ascii="David" w:hAnsi="David" w:cs="David"/>
          <w:color w:val="000000"/>
          <w:sz w:val="18"/>
          <w:szCs w:val="18"/>
          <w:rtl/>
        </w:rPr>
        <w:t>. מאירי שם.</w:t>
      </w:r>
    </w:p>
  </w:footnote>
  <w:footnote w:id="1382">
    <w:p w14:paraId="04CED43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1382</w:t>
      </w:r>
      <w:r>
        <w:rPr>
          <w:rFonts w:ascii="David" w:hAnsi="David" w:cs="David"/>
          <w:sz w:val="24"/>
          <w:szCs w:val="24"/>
          <w:rtl/>
        </w:rPr>
        <w:t xml:space="preserve"> </w:t>
      </w:r>
      <w:r>
        <w:rPr>
          <w:rFonts w:ascii="David" w:hAnsi="David" w:cs="David"/>
          <w:color w:val="000000"/>
          <w:sz w:val="18"/>
          <w:szCs w:val="18"/>
          <w:rtl/>
        </w:rPr>
        <w:t>. עי' לעיל. כס"מ שם ה"א.</w:t>
      </w:r>
    </w:p>
  </w:footnote>
  <w:footnote w:id="1383">
    <w:p w14:paraId="0DB0D3E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1383</w:t>
      </w:r>
      <w:r>
        <w:rPr>
          <w:rFonts w:ascii="David" w:hAnsi="David" w:cs="David"/>
          <w:sz w:val="24"/>
          <w:szCs w:val="24"/>
          <w:rtl/>
        </w:rPr>
        <w:t xml:space="preserve"> </w:t>
      </w:r>
      <w:r>
        <w:rPr>
          <w:rFonts w:ascii="David" w:hAnsi="David" w:cs="David"/>
          <w:color w:val="000000"/>
          <w:sz w:val="18"/>
          <w:szCs w:val="18"/>
          <w:rtl/>
        </w:rPr>
        <w:t>. עי' ציון 1366. כס"מ שם; ערה"ש שם.</w:t>
      </w:r>
    </w:p>
  </w:footnote>
  <w:footnote w:id="1384">
    <w:p w14:paraId="53BEBB3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1384</w:t>
      </w:r>
      <w:r>
        <w:rPr>
          <w:rFonts w:ascii="David" w:hAnsi="David" w:cs="David"/>
          <w:sz w:val="24"/>
          <w:szCs w:val="24"/>
          <w:rtl/>
        </w:rPr>
        <w:t xml:space="preserve"> </w:t>
      </w:r>
      <w:r>
        <w:rPr>
          <w:rFonts w:ascii="David" w:hAnsi="David" w:cs="David"/>
          <w:color w:val="000000"/>
          <w:sz w:val="18"/>
          <w:szCs w:val="18"/>
          <w:rtl/>
        </w:rPr>
        <w:t>. ערה"ש שם.</w:t>
      </w:r>
    </w:p>
  </w:footnote>
  <w:footnote w:id="1385">
    <w:p w14:paraId="5720BC1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1385</w:t>
      </w:r>
      <w:r>
        <w:rPr>
          <w:rFonts w:ascii="David" w:hAnsi="David" w:cs="David"/>
          <w:sz w:val="24"/>
          <w:szCs w:val="24"/>
          <w:rtl/>
        </w:rPr>
        <w:t xml:space="preserve"> </w:t>
      </w:r>
      <w:r>
        <w:rPr>
          <w:rFonts w:ascii="David" w:hAnsi="David" w:cs="David"/>
          <w:color w:val="000000"/>
          <w:sz w:val="18"/>
          <w:szCs w:val="18"/>
          <w:rtl/>
        </w:rPr>
        <w:t>. עי' משנה דלהלן: בכנפו, ורע"ב שם, שהכנף ראשון לטומאה, ואינו מטמא אדם, ע"ע אבות הטומאות ציון 2.</w:t>
      </w:r>
    </w:p>
  </w:footnote>
  <w:footnote w:id="1386">
    <w:p w14:paraId="1DDD98E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1386</w:t>
      </w:r>
      <w:r>
        <w:rPr>
          <w:rFonts w:ascii="David" w:hAnsi="David" w:cs="David"/>
          <w:sz w:val="24"/>
          <w:szCs w:val="24"/>
          <w:rtl/>
        </w:rPr>
        <w:t xml:space="preserve"> </w:t>
      </w:r>
      <w:r>
        <w:rPr>
          <w:rFonts w:ascii="David" w:hAnsi="David" w:cs="David"/>
          <w:color w:val="000000"/>
          <w:sz w:val="18"/>
          <w:szCs w:val="18"/>
          <w:rtl/>
        </w:rPr>
        <w:t>. עי' לעיל ציון 1107, שאינם מטמאים במשא אלא בשיעור זה. פרה פי"ב מ"ה, ועי' רמב"ם פרה פט"ו ה"י, שהביא הדין כשנשא את הכלי אחר הזאה, וצ"ב, ועי' בפהמ"ש שם, שפי' כפשוטו.</w:t>
      </w:r>
    </w:p>
  </w:footnote>
  <w:footnote w:id="1387">
    <w:p w14:paraId="593F8CC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1387</w:t>
      </w:r>
      <w:r>
        <w:rPr>
          <w:rFonts w:ascii="David" w:hAnsi="David" w:cs="David"/>
          <w:sz w:val="24"/>
          <w:szCs w:val="24"/>
          <w:rtl/>
        </w:rPr>
        <w:t xml:space="preserve"> </w:t>
      </w:r>
      <w:r>
        <w:rPr>
          <w:rFonts w:ascii="David" w:hAnsi="David" w:cs="David"/>
          <w:color w:val="000000"/>
          <w:sz w:val="18"/>
          <w:szCs w:val="18"/>
          <w:rtl/>
        </w:rPr>
        <w:t>. רע"ב שם.</w:t>
      </w:r>
    </w:p>
  </w:footnote>
  <w:footnote w:id="1388">
    <w:p w14:paraId="7608138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1388</w:t>
      </w:r>
      <w:r>
        <w:rPr>
          <w:rFonts w:ascii="David" w:hAnsi="David" w:cs="David"/>
          <w:sz w:val="24"/>
          <w:szCs w:val="24"/>
          <w:rtl/>
        </w:rPr>
        <w:t xml:space="preserve"> </w:t>
      </w:r>
      <w:r>
        <w:rPr>
          <w:rFonts w:ascii="David" w:hAnsi="David" w:cs="David"/>
          <w:color w:val="000000"/>
          <w:sz w:val="18"/>
          <w:szCs w:val="18"/>
          <w:rtl/>
        </w:rPr>
        <w:t>. א"ר שם; תפא"י שם אות לט, שזהו חידוש המשנה שם יותר ממשנה שבציון 1365, ועי' משנ"א שם. וצ"ב שברמב"ם דלהלן מ' שמשעת ההזאה נעשית מצותם, ואולי היינו דוקא בהזאה שלא נפלה על הטמא.</w:t>
      </w:r>
    </w:p>
  </w:footnote>
  <w:footnote w:id="1389">
    <w:p w14:paraId="2EE29B4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1389</w:t>
      </w:r>
      <w:r>
        <w:rPr>
          <w:rFonts w:ascii="David" w:hAnsi="David" w:cs="David"/>
          <w:sz w:val="24"/>
          <w:szCs w:val="24"/>
          <w:rtl/>
        </w:rPr>
        <w:t xml:space="preserve"> </w:t>
      </w:r>
      <w:r>
        <w:rPr>
          <w:rFonts w:ascii="David" w:hAnsi="David" w:cs="David"/>
          <w:color w:val="000000"/>
          <w:sz w:val="18"/>
          <w:szCs w:val="18"/>
          <w:rtl/>
        </w:rPr>
        <w:t>. עי' רמב"ם שם ה"א; עי' מאירי עדויות פ"ה מ"ג. ועי' ציון 1397 ואילך, שנחלקו אף בנוטפים קודם הזאה. ועי' ציון הקודם. ועי' מרכה"מ שם ה"ח ד"ה וממה, שכ"ה ד' רמב"ם ה"ח שם, שבציון 1368, שלא כ' אלא שלא לחוש למים פסולים, ולא הזכיר מים שנטפו בשעת הזאה, ועי' להלן.</w:t>
      </w:r>
    </w:p>
  </w:footnote>
  <w:footnote w:id="1390">
    <w:p w14:paraId="466AEB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1390</w:t>
      </w:r>
      <w:r>
        <w:rPr>
          <w:rFonts w:ascii="David" w:hAnsi="David" w:cs="David"/>
          <w:sz w:val="24"/>
          <w:szCs w:val="24"/>
          <w:rtl/>
        </w:rPr>
        <w:t xml:space="preserve"> </w:t>
      </w:r>
      <w:r>
        <w:rPr>
          <w:rFonts w:ascii="David" w:hAnsi="David" w:cs="David"/>
          <w:color w:val="000000"/>
          <w:sz w:val="18"/>
          <w:szCs w:val="18"/>
          <w:rtl/>
        </w:rPr>
        <w:t>. מרכה"מ שם ד"ה ועיין, ועי' להלן.</w:t>
      </w:r>
    </w:p>
  </w:footnote>
  <w:footnote w:id="1391">
    <w:p w14:paraId="0EE6B88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1391</w:t>
      </w:r>
      <w:r>
        <w:rPr>
          <w:rFonts w:ascii="David" w:hAnsi="David" w:cs="David"/>
          <w:sz w:val="24"/>
          <w:szCs w:val="24"/>
          <w:rtl/>
        </w:rPr>
        <w:t xml:space="preserve"> </w:t>
      </w:r>
      <w:r>
        <w:rPr>
          <w:rFonts w:ascii="David" w:hAnsi="David" w:cs="David"/>
          <w:color w:val="000000"/>
          <w:sz w:val="18"/>
          <w:szCs w:val="18"/>
          <w:rtl/>
        </w:rPr>
        <w:t>. עי' ציון 1159.</w:t>
      </w:r>
    </w:p>
  </w:footnote>
  <w:footnote w:id="1392">
    <w:p w14:paraId="4440EA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1392</w:t>
      </w:r>
      <w:r>
        <w:rPr>
          <w:rFonts w:ascii="David" w:hAnsi="David" w:cs="David"/>
          <w:sz w:val="24"/>
          <w:szCs w:val="24"/>
          <w:rtl/>
        </w:rPr>
        <w:t xml:space="preserve"> </w:t>
      </w:r>
      <w:r>
        <w:rPr>
          <w:rFonts w:ascii="David" w:hAnsi="David" w:cs="David"/>
          <w:color w:val="000000"/>
          <w:sz w:val="18"/>
          <w:szCs w:val="18"/>
          <w:rtl/>
        </w:rPr>
        <w:t>. עי' ציון 1073, שמי חטאת מטמאים במגע. מרכה"מ דלהלן, ועי' דברי יחזקאל דלהלן.</w:t>
      </w:r>
    </w:p>
  </w:footnote>
  <w:footnote w:id="1393">
    <w:p w14:paraId="0960EA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1393</w:t>
      </w:r>
      <w:r>
        <w:rPr>
          <w:rFonts w:ascii="David" w:hAnsi="David" w:cs="David"/>
          <w:sz w:val="24"/>
          <w:szCs w:val="24"/>
          <w:rtl/>
        </w:rPr>
        <w:t xml:space="preserve"> </w:t>
      </w:r>
      <w:r>
        <w:rPr>
          <w:rFonts w:ascii="David" w:hAnsi="David" w:cs="David"/>
          <w:color w:val="000000"/>
          <w:sz w:val="18"/>
          <w:szCs w:val="18"/>
          <w:rtl/>
        </w:rPr>
        <w:t>. ציון 1163 ואילך.</w:t>
      </w:r>
    </w:p>
  </w:footnote>
  <w:footnote w:id="1394">
    <w:p w14:paraId="660FB1F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1394</w:t>
      </w:r>
      <w:r>
        <w:rPr>
          <w:rFonts w:ascii="David" w:hAnsi="David" w:cs="David"/>
          <w:sz w:val="24"/>
          <w:szCs w:val="24"/>
          <w:rtl/>
        </w:rPr>
        <w:t xml:space="preserve"> </w:t>
      </w:r>
      <w:r>
        <w:rPr>
          <w:rFonts w:ascii="David" w:hAnsi="David" w:cs="David"/>
          <w:color w:val="000000"/>
          <w:sz w:val="18"/>
          <w:szCs w:val="18"/>
          <w:rtl/>
        </w:rPr>
        <w:t>. מרכה"מ שם ד"ה ונראה, בד' רמב"ם ה"א שם, שלא טיהר אלא משום שהיזה על הטמא, וכעי"ז בדברי יחזקאל סי' יד אות ט (ע"פ ציון 1413), וע"ש הסבר נוסף כשמזה מחמת ספק טומאה, וע"ש סוף אות ו, שמטעם אחר טמא כשנתכוין להזות על הטהור. ועי' מרכה"מ שם, שכ"מ ביומא יד א: טהור שנפלה עליו הזאה, ולא אמרו "טהור שהזו עליו". ולפ"ז צ"ל שמהדרשה שבציון 1155, לומדים שלא הולכים אחר הכוונה, וחכמים לומדים מק"ו שבציון 1160, שיש לילך אחר הכוונה. ועי' ציונים 1190 ואילך, 1411 ואילך.</w:t>
      </w:r>
    </w:p>
  </w:footnote>
  <w:footnote w:id="1395">
    <w:p w14:paraId="032B4FA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1395</w:t>
      </w:r>
      <w:r>
        <w:rPr>
          <w:rFonts w:ascii="David" w:hAnsi="David" w:cs="David"/>
          <w:sz w:val="24"/>
          <w:szCs w:val="24"/>
          <w:rtl/>
        </w:rPr>
        <w:t xml:space="preserve"> </w:t>
      </w:r>
      <w:r>
        <w:rPr>
          <w:rFonts w:ascii="David" w:hAnsi="David" w:cs="David"/>
          <w:color w:val="000000"/>
          <w:sz w:val="18"/>
          <w:szCs w:val="18"/>
          <w:rtl/>
        </w:rPr>
        <w:t>. מרכה"מ ה"ח שם ד"ה וממה, בד' ראב"ד שם, שבציון 1369, שאין לחוש למים פסולים משום שרוב המים נעשית מצותם, ולא די לו במש"כ הרמב"ם שבציון 1368, שאין לחוש למים פסולים, שהיינו משום שיש לחוש למים שנטפו בשעת הזאה, ועי' חזו"נ פרה שם מ"ד ואו"ש שם, שמפרש ד' הראב"ד בע"א, ע"פ ציון 1397 ואילך. ועי' ציון 1388.</w:t>
      </w:r>
    </w:p>
  </w:footnote>
  <w:footnote w:id="1396">
    <w:p w14:paraId="2F9BD4B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1396</w:t>
      </w:r>
      <w:r>
        <w:rPr>
          <w:rFonts w:ascii="David" w:hAnsi="David" w:cs="David"/>
          <w:sz w:val="24"/>
          <w:szCs w:val="24"/>
          <w:rtl/>
        </w:rPr>
        <w:t xml:space="preserve"> </w:t>
      </w:r>
      <w:r>
        <w:rPr>
          <w:rFonts w:ascii="David" w:hAnsi="David" w:cs="David"/>
          <w:color w:val="000000"/>
          <w:sz w:val="18"/>
          <w:szCs w:val="18"/>
          <w:rtl/>
        </w:rPr>
        <w:t>. עי' פרה שם מ"ג, ופהמ"ש ור"ש ורא"ש ורע"ב שם ורש"י ושא"ר יומא יד א, שכשלא נפסל בהזאה, יכול לחזור ולהזות מהמים שבאזוב, ומ' שה"ה בהזאה כשרה; עי' רמב"ם פרה פ"י ה"ח; בהגר"א לתוספ' פי"ב, וע"ש בביאור תוספ' שם, ועי' חס"ד לתוספ' שם הי"א. ועי' חזו"א פרה סי' טו ס"ק י, שמ"מ אין המזה נטמא (עי' ציון 1172) מחמת שנשאר האזוב בידו, ואף אם נגע במים שבו, ואף אם לא נשאר כדי הזאה, חשוב בכלל ההזאה.</w:t>
      </w:r>
    </w:p>
  </w:footnote>
  <w:footnote w:id="1397">
    <w:p w14:paraId="083B836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1397</w:t>
      </w:r>
      <w:r>
        <w:rPr>
          <w:rFonts w:ascii="David" w:hAnsi="David" w:cs="David"/>
          <w:sz w:val="24"/>
          <w:szCs w:val="24"/>
          <w:rtl/>
        </w:rPr>
        <w:t xml:space="preserve"> </w:t>
      </w:r>
      <w:r>
        <w:rPr>
          <w:rFonts w:ascii="David" w:hAnsi="David" w:cs="David"/>
          <w:color w:val="000000"/>
          <w:sz w:val="18"/>
          <w:szCs w:val="18"/>
          <w:rtl/>
        </w:rPr>
        <w:t>. עי' ר"ש ורא"ש שם, בפי' משנה שם; עי' ראב"ד פ"י שם, ע"פ תוספ' שם פי"ב, ושכן פי' המשנה שם; ק"ס פרה שם, ומרכה"מ פט"ו שם ד"ה ועיין בד' הרמב"ם, ועי' להלן; תפא"י שם אות לו. ועי' בהגר"א לתוספ' שם. ועי' מרכה"מ שם, שפי' כן תוספתא שם.</w:t>
      </w:r>
    </w:p>
  </w:footnote>
  <w:footnote w:id="1398">
    <w:p w14:paraId="6E2C4B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1398</w:t>
      </w:r>
      <w:r>
        <w:rPr>
          <w:rFonts w:ascii="David" w:hAnsi="David" w:cs="David"/>
          <w:sz w:val="24"/>
          <w:szCs w:val="24"/>
          <w:rtl/>
        </w:rPr>
        <w:t xml:space="preserve"> </w:t>
      </w:r>
      <w:r>
        <w:rPr>
          <w:rFonts w:ascii="David" w:hAnsi="David" w:cs="David"/>
          <w:color w:val="000000"/>
          <w:sz w:val="18"/>
          <w:szCs w:val="18"/>
          <w:rtl/>
        </w:rPr>
        <w:t>. עי' ציון 86, ועי' ציונים 36 ואילך, 56 ואילך, ועי' ציון 1044.</w:t>
      </w:r>
    </w:p>
  </w:footnote>
  <w:footnote w:id="1399">
    <w:p w14:paraId="3465B5D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1399</w:t>
      </w:r>
      <w:r>
        <w:rPr>
          <w:rFonts w:ascii="David" w:hAnsi="David" w:cs="David"/>
          <w:sz w:val="24"/>
          <w:szCs w:val="24"/>
          <w:rtl/>
        </w:rPr>
        <w:t xml:space="preserve"> </w:t>
      </w:r>
      <w:r>
        <w:rPr>
          <w:rFonts w:ascii="David" w:hAnsi="David" w:cs="David"/>
          <w:color w:val="000000"/>
          <w:sz w:val="18"/>
          <w:szCs w:val="18"/>
          <w:rtl/>
        </w:rPr>
        <w:t>. עי' ציון 1240. תפא"י שם. ועי' משנה שם, שהמים כשרים, ור"ש שם שכל תורת מי חטאת עליהם, וצ"ב אם היינו בנטפו לכלי, או שאף כשנשפכו לארץ אין בהם היסה"ד, אלא כשנתערבו במים אחרים.</w:t>
      </w:r>
    </w:p>
  </w:footnote>
  <w:footnote w:id="1400">
    <w:p w14:paraId="3CFDF1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1400</w:t>
      </w:r>
      <w:r>
        <w:rPr>
          <w:rFonts w:ascii="David" w:hAnsi="David" w:cs="David"/>
          <w:sz w:val="24"/>
          <w:szCs w:val="24"/>
          <w:rtl/>
        </w:rPr>
        <w:t xml:space="preserve"> </w:t>
      </w:r>
      <w:r>
        <w:rPr>
          <w:rFonts w:ascii="David" w:hAnsi="David" w:cs="David"/>
          <w:color w:val="000000"/>
          <w:sz w:val="18"/>
          <w:szCs w:val="18"/>
          <w:rtl/>
        </w:rPr>
        <w:t>. עי' פהמ"ש לרמב"ם ורע"ב שם, בפי' משנה שם, שדוקא כשנתכוין להזות על הבהמה המים המנטפים מן האזוב מטמאים, וכעי"ז ברמב"ם שבציון 1408, ועי' אחרונים דלהלן, ועי' ק"ס ומרכה"מ דלעיל, וצ"ב; ערה"ש פרה סי' עז סי"א, וע"ש שכ"מ במשנה שבציון 1366, שלא היו נמנעים מלדרוס במקום ההזאה משום שאין המים מטמאים, ומדוע לא חששו למים מן האזוב, וכעי"ז באו"ש שם, ועי' מרכה"מ שם, שמים מן האזוב אינם יוצאים מהחלון, ועי' תפא"י שם, ועי' ציון 1395. וכ"נ לראשונים שבציון 1188 ואילך, ועי' ר"ש שם וחזו"א שם סי' ו סוס"ק ז (הא'). והיינו שכיון שנטפו מהאזוב פסולים להזאה, עי' ציון 1374, שלד' ערה"ש מטעם זה כשנעשה מצותם אינם מטמאים. ועי' בהגר"א לתוספ' שם, שנ' שאף מה שנטף אחר הזאה חשוב שנעשה מצותו, וצ"ב.</w:t>
      </w:r>
    </w:p>
  </w:footnote>
  <w:footnote w:id="1401">
    <w:p w14:paraId="75216B1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1401</w:t>
      </w:r>
      <w:r>
        <w:rPr>
          <w:rFonts w:ascii="David" w:hAnsi="David" w:cs="David"/>
          <w:sz w:val="24"/>
          <w:szCs w:val="24"/>
          <w:rtl/>
        </w:rPr>
        <w:t xml:space="preserve"> </w:t>
      </w:r>
      <w:r>
        <w:rPr>
          <w:rFonts w:ascii="David" w:hAnsi="David" w:cs="David"/>
          <w:color w:val="000000"/>
          <w:sz w:val="18"/>
          <w:szCs w:val="18"/>
          <w:rtl/>
        </w:rPr>
        <w:t>. עי' שיח יצחק יומא יד א; עי' או"ש פרה פט"ו ה"ח; עי' חזו"א או"ח סי' קכו ס"ק יב, ועי' להלן.</w:t>
      </w:r>
    </w:p>
  </w:footnote>
  <w:footnote w:id="1402">
    <w:p w14:paraId="1E15C67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1402</w:t>
      </w:r>
      <w:r>
        <w:rPr>
          <w:rFonts w:ascii="David" w:hAnsi="David" w:cs="David"/>
          <w:sz w:val="24"/>
          <w:szCs w:val="24"/>
          <w:rtl/>
        </w:rPr>
        <w:t xml:space="preserve"> </w:t>
      </w:r>
      <w:r>
        <w:rPr>
          <w:rFonts w:ascii="David" w:hAnsi="David" w:cs="David"/>
          <w:color w:val="000000"/>
          <w:sz w:val="18"/>
          <w:szCs w:val="18"/>
          <w:rtl/>
        </w:rPr>
        <w:t>. עי' חס"ד לתוספ' שם, אבל נ' שפי' מים הנוטפים בשעת הזאה; עי' חזו"א פרה סי' ו ס"ק ז הב' (ועי' לעיל), וע"ש שהרמב"ם לא פי' פרט זה, ואפשר שהוא פשוט.</w:t>
      </w:r>
    </w:p>
  </w:footnote>
  <w:footnote w:id="1403">
    <w:p w14:paraId="446C9CB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1403</w:t>
      </w:r>
      <w:r>
        <w:rPr>
          <w:rFonts w:ascii="David" w:hAnsi="David" w:cs="David"/>
          <w:sz w:val="24"/>
          <w:szCs w:val="24"/>
          <w:rtl/>
        </w:rPr>
        <w:t xml:space="preserve"> </w:t>
      </w:r>
      <w:r>
        <w:rPr>
          <w:rFonts w:ascii="David" w:hAnsi="David" w:cs="David"/>
          <w:color w:val="000000"/>
          <w:sz w:val="18"/>
          <w:szCs w:val="18"/>
          <w:rtl/>
        </w:rPr>
        <w:t>. ע"ע הזאה (ב) ציון 214.</w:t>
      </w:r>
    </w:p>
  </w:footnote>
  <w:footnote w:id="1404">
    <w:p w14:paraId="15C553F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1404</w:t>
      </w:r>
      <w:r>
        <w:rPr>
          <w:rFonts w:ascii="David" w:hAnsi="David" w:cs="David"/>
          <w:sz w:val="24"/>
          <w:szCs w:val="24"/>
          <w:rtl/>
        </w:rPr>
        <w:t xml:space="preserve"> </w:t>
      </w:r>
      <w:r>
        <w:rPr>
          <w:rFonts w:ascii="David" w:hAnsi="David" w:cs="David"/>
          <w:color w:val="000000"/>
          <w:sz w:val="18"/>
          <w:szCs w:val="18"/>
          <w:rtl/>
        </w:rPr>
        <w:t>. עי' תוספ' פרה סופי"ב ובהגר"א שם ורמב"ם פרה פי"א ה"א. ועי' ציון 1208, שי"מ תוספ' בע"א.</w:t>
      </w:r>
    </w:p>
  </w:footnote>
  <w:footnote w:id="1405">
    <w:p w14:paraId="4E327CF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1405</w:t>
      </w:r>
      <w:r>
        <w:rPr>
          <w:rFonts w:ascii="David" w:hAnsi="David" w:cs="David"/>
          <w:sz w:val="24"/>
          <w:szCs w:val="24"/>
          <w:rtl/>
        </w:rPr>
        <w:t xml:space="preserve"> </w:t>
      </w:r>
      <w:r>
        <w:rPr>
          <w:rFonts w:ascii="David" w:hAnsi="David" w:cs="David"/>
          <w:color w:val="000000"/>
          <w:sz w:val="18"/>
          <w:szCs w:val="18"/>
          <w:rtl/>
        </w:rPr>
        <w:t>. חזו"א פרה סי' טו ס"ק ו.</w:t>
      </w:r>
    </w:p>
  </w:footnote>
  <w:footnote w:id="1406">
    <w:p w14:paraId="01F050C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1406</w:t>
      </w:r>
      <w:r>
        <w:rPr>
          <w:rFonts w:ascii="David" w:hAnsi="David" w:cs="David"/>
          <w:sz w:val="24"/>
          <w:szCs w:val="24"/>
          <w:rtl/>
        </w:rPr>
        <w:t xml:space="preserve"> </w:t>
      </w:r>
      <w:r>
        <w:rPr>
          <w:rFonts w:ascii="David" w:hAnsi="David" w:cs="David"/>
          <w:color w:val="000000"/>
          <w:sz w:val="18"/>
          <w:szCs w:val="18"/>
          <w:rtl/>
        </w:rPr>
        <w:t>. עי' ציון 1189.</w:t>
      </w:r>
    </w:p>
  </w:footnote>
  <w:footnote w:id="1407">
    <w:p w14:paraId="7B583F6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1407</w:t>
      </w:r>
      <w:r>
        <w:rPr>
          <w:rFonts w:ascii="David" w:hAnsi="David" w:cs="David"/>
          <w:sz w:val="24"/>
          <w:szCs w:val="24"/>
          <w:rtl/>
        </w:rPr>
        <w:t xml:space="preserve"> </w:t>
      </w:r>
      <w:r>
        <w:rPr>
          <w:rFonts w:ascii="David" w:hAnsi="David" w:cs="David"/>
          <w:color w:val="000000"/>
          <w:sz w:val="18"/>
          <w:szCs w:val="18"/>
          <w:rtl/>
        </w:rPr>
        <w:t>. עי' ראשונים דלהלן. על דינם להזאה, עי' ציון 1187 ואילך.</w:t>
      </w:r>
    </w:p>
  </w:footnote>
  <w:footnote w:id="1408">
    <w:p w14:paraId="0385537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1408</w:t>
      </w:r>
      <w:r>
        <w:rPr>
          <w:rFonts w:ascii="David" w:hAnsi="David" w:cs="David"/>
          <w:sz w:val="24"/>
          <w:szCs w:val="24"/>
          <w:rtl/>
        </w:rPr>
        <w:t xml:space="preserve"> </w:t>
      </w:r>
      <w:r>
        <w:rPr>
          <w:rFonts w:ascii="David" w:hAnsi="David" w:cs="David"/>
          <w:color w:val="000000"/>
          <w:sz w:val="18"/>
          <w:szCs w:val="18"/>
          <w:rtl/>
        </w:rPr>
        <w:t>. עי' רמב"ם שם פט"ו ה"א, שמ' שאף מים הנוטפים קודם הזאה חשוב שנעשית מצותם (ועי' ציון 1400), וע"ש פ"י ה"ט, ועי' להלן; עי' תוס' ר"י הלבן דלהלן; חזו"א או"ח סי' קכו ס"ק יב, בד' הראב"ד, ועי' חזו"א פרה שם, ועי' ציון 1203.</w:t>
      </w:r>
    </w:p>
  </w:footnote>
  <w:footnote w:id="1409">
    <w:p w14:paraId="2CDF25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1409</w:t>
      </w:r>
      <w:r>
        <w:rPr>
          <w:rFonts w:ascii="David" w:hAnsi="David" w:cs="David"/>
          <w:sz w:val="24"/>
          <w:szCs w:val="24"/>
          <w:rtl/>
        </w:rPr>
        <w:t xml:space="preserve"> </w:t>
      </w:r>
      <w:r>
        <w:rPr>
          <w:rFonts w:ascii="David" w:hAnsi="David" w:cs="David"/>
          <w:color w:val="000000"/>
          <w:sz w:val="18"/>
          <w:szCs w:val="18"/>
          <w:rtl/>
        </w:rPr>
        <w:t>. עי' ציון 1159, ועי' ציון 1391, שי"מ בע"א. ועי' ציון 1156, שלר"ע טמא.</w:t>
      </w:r>
    </w:p>
  </w:footnote>
  <w:footnote w:id="1410">
    <w:p w14:paraId="079EB3A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1410</w:t>
      </w:r>
      <w:r>
        <w:rPr>
          <w:rFonts w:ascii="David" w:hAnsi="David" w:cs="David"/>
          <w:sz w:val="24"/>
          <w:szCs w:val="24"/>
          <w:rtl/>
        </w:rPr>
        <w:t xml:space="preserve"> </w:t>
      </w:r>
      <w:r>
        <w:rPr>
          <w:rFonts w:ascii="David" w:hAnsi="David" w:cs="David"/>
          <w:color w:val="000000"/>
          <w:sz w:val="18"/>
          <w:szCs w:val="18"/>
          <w:rtl/>
        </w:rPr>
        <w:t>. תוס' ר"י הלבן יומא יד א, בשם רבו; חזו"א או"ח שם, ושלר"ע לומדים שאעפ"כ מטמא. ועי' כעי"ז במרכה"מ ודברי יחזקאל שבציון 1394, 1415, לשיטתם בציונים הנ"ל. ועי' ציון 1150. ועי' ציון 1160, שחכמים טיהרו מק"ו, וצ"ב אם היינו שמק"ו לומדים שנעשית מצותם, או שבלא זה היה נטמא בטומאה מחודשת מחמת שהוזה עליו, ועי' ציון 1152. ועי' ציון 1163, טעם נוסף, ועי' תוס' ר"י הלבן שם, שהוא עיקר, ועי' ציון 1206, טעם נוסף.</w:t>
      </w:r>
    </w:p>
  </w:footnote>
  <w:footnote w:id="1411">
    <w:p w14:paraId="6E5FE94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1411</w:t>
      </w:r>
      <w:r>
        <w:rPr>
          <w:rFonts w:ascii="David" w:hAnsi="David" w:cs="David"/>
          <w:sz w:val="24"/>
          <w:szCs w:val="24"/>
          <w:rtl/>
        </w:rPr>
        <w:t xml:space="preserve"> </w:t>
      </w:r>
      <w:r>
        <w:rPr>
          <w:rFonts w:ascii="David" w:hAnsi="David" w:cs="David"/>
          <w:color w:val="000000"/>
          <w:sz w:val="18"/>
          <w:szCs w:val="18"/>
          <w:rtl/>
        </w:rPr>
        <w:t>. עי' ר"ש ורא"ש דלהלן, ועי' חזו"א פרה שם, וצ"ב; עי' מרכה"מ שבציון 1394, בד' הרמב"ם, ועי' לעיל. וכן מבואר לד' ר"ע שבציון 1152, אם אינה טומאה מחודשת, עי' ציון הנ"ל, ועי' ציון 1163, שי"ס שאף חכמים טיהרו מטעם אחר.</w:t>
      </w:r>
    </w:p>
  </w:footnote>
  <w:footnote w:id="1412">
    <w:p w14:paraId="70847B0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1412</w:t>
      </w:r>
      <w:r>
        <w:rPr>
          <w:rFonts w:ascii="David" w:hAnsi="David" w:cs="David"/>
          <w:sz w:val="24"/>
          <w:szCs w:val="24"/>
          <w:rtl/>
        </w:rPr>
        <w:t xml:space="preserve"> </w:t>
      </w:r>
      <w:r>
        <w:rPr>
          <w:rFonts w:ascii="David" w:hAnsi="David" w:cs="David"/>
          <w:color w:val="000000"/>
          <w:sz w:val="18"/>
          <w:szCs w:val="18"/>
          <w:rtl/>
        </w:rPr>
        <w:t>. ע"ע ספק טומאה.</w:t>
      </w:r>
    </w:p>
  </w:footnote>
  <w:footnote w:id="1413">
    <w:p w14:paraId="257033F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1413</w:t>
      </w:r>
      <w:r>
        <w:rPr>
          <w:rFonts w:ascii="David" w:hAnsi="David" w:cs="David"/>
          <w:sz w:val="24"/>
          <w:szCs w:val="24"/>
          <w:rtl/>
        </w:rPr>
        <w:t xml:space="preserve"> </w:t>
      </w:r>
      <w:r>
        <w:rPr>
          <w:rFonts w:ascii="David" w:hAnsi="David" w:cs="David"/>
          <w:color w:val="000000"/>
          <w:sz w:val="18"/>
          <w:szCs w:val="18"/>
          <w:rtl/>
        </w:rPr>
        <w:t>. ר"ש ורא"ש פרה פי"ב מ"ד, בביאור משנה שם: חלון של רבים וכו', ועי' רמב"ם ורע"ב שם וראב"ד עדויות פ"ה מ"ג שפי' באופ"א, ועי' ציון 1368. ועי' ציון 1167 ואילך, על דין המזה והמוזה בטומאת ספק.</w:t>
      </w:r>
    </w:p>
  </w:footnote>
  <w:footnote w:id="1414">
    <w:p w14:paraId="5C86CA7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1414</w:t>
      </w:r>
      <w:r>
        <w:rPr>
          <w:rFonts w:ascii="David" w:hAnsi="David" w:cs="David"/>
          <w:sz w:val="24"/>
          <w:szCs w:val="24"/>
          <w:rtl/>
        </w:rPr>
        <w:t xml:space="preserve"> </w:t>
      </w:r>
      <w:r>
        <w:rPr>
          <w:rFonts w:ascii="David" w:hAnsi="David" w:cs="David"/>
          <w:color w:val="000000"/>
          <w:sz w:val="18"/>
          <w:szCs w:val="18"/>
          <w:rtl/>
        </w:rPr>
        <w:t>. ע"ע ספק טומאה. שי"ק שבועות פ"ב ה"א, וע"ש שבלא זה צ"ל שכוונת הר"ש שלכתחילה צריך להזות, ליישב קו' תוי"ט פרה שם, ועי' מצפה איתן פרה שם.</w:t>
      </w:r>
    </w:p>
  </w:footnote>
  <w:footnote w:id="1415">
    <w:p w14:paraId="3A1256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1415</w:t>
      </w:r>
      <w:r>
        <w:rPr>
          <w:rFonts w:ascii="David" w:hAnsi="David" w:cs="David"/>
          <w:sz w:val="24"/>
          <w:szCs w:val="24"/>
          <w:rtl/>
        </w:rPr>
        <w:t xml:space="preserve"> </w:t>
      </w:r>
      <w:r>
        <w:rPr>
          <w:rFonts w:ascii="David" w:hAnsi="David" w:cs="David"/>
          <w:color w:val="000000"/>
          <w:sz w:val="18"/>
          <w:szCs w:val="18"/>
          <w:rtl/>
        </w:rPr>
        <w:t>. דברי יחזקאל (ברשטיין) סי' יד אות ו, וכ"נ במרכה"מ שם. ועי' דברי יחזקאל שם, שאין לומר שכיון שהיזו על ספק טמא חשובים ספק נעשית מצותם, וההיתר מכיון שהוא ספק מדין ספק טומאה ברה"ר, שהרי לד' הר"ש מבואר במשנה שלא היו נכנסים לכתחילה בספק טומאה, וע"ע הנ"ל. ועי' דברי יחזקאל שם אות ז, אם כ"ה אף לר"ע שבציון 1152. וע"ש אות ט ויב, בד' רמב"ם ורע"ב שם, ועי' לעיל, וע"ש אות י בד' המאירי, ואות יב ואילך בד' הירו'. וע"ש אות ט ויב ואילך, שבאופן שצריך להזות שלא משום טהרה, ודאי חשוב שנעשית מצותו, וכעי"ז בנוע"י יומא פ"א ה"א.</w:t>
      </w:r>
    </w:p>
  </w:footnote>
  <w:footnote w:id="1416">
    <w:p w14:paraId="6C99D8C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1416</w:t>
      </w:r>
      <w:r>
        <w:rPr>
          <w:rFonts w:ascii="David" w:hAnsi="David" w:cs="David"/>
          <w:sz w:val="24"/>
          <w:szCs w:val="24"/>
          <w:rtl/>
        </w:rPr>
        <w:t xml:space="preserve"> </w:t>
      </w:r>
      <w:r>
        <w:rPr>
          <w:rFonts w:ascii="David" w:hAnsi="David" w:cs="David"/>
          <w:color w:val="000000"/>
          <w:sz w:val="18"/>
          <w:szCs w:val="18"/>
          <w:rtl/>
        </w:rPr>
        <w:t>. ע"ע פרה אדומה.</w:t>
      </w:r>
    </w:p>
  </w:footnote>
  <w:footnote w:id="1417">
    <w:p w14:paraId="651F563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1417</w:t>
      </w:r>
      <w:r>
        <w:rPr>
          <w:rFonts w:ascii="David" w:hAnsi="David" w:cs="David"/>
          <w:sz w:val="24"/>
          <w:szCs w:val="24"/>
          <w:rtl/>
        </w:rPr>
        <w:t xml:space="preserve"> </w:t>
      </w:r>
      <w:r>
        <w:rPr>
          <w:rFonts w:ascii="David" w:hAnsi="David" w:cs="David"/>
          <w:color w:val="000000"/>
          <w:sz w:val="18"/>
          <w:szCs w:val="18"/>
          <w:rtl/>
        </w:rPr>
        <w:t>. עי' רש"י סוכה כא א ד"ה ומביאין נשים וריטב"א שם ור"ש ורע"ב פרה פ"ג מ"ב ורמב"ם פרה פ"ב ה"ז ותורי"ד יומא ב א, ע"פ משנה שבציון 1426 ואילך, ועי' להלן. ועי' זבחים קיג א: מעלה עשו בפרה, ועי' ציון 1428. ועי' מל"מ טומאת מת פי"א ה"א, שאם לא עשו מעלות אלו, לא נפסל, ועי' קר"א זבחים שם. ועי' ציון 152, שי"מ בד' תוס' שמעלות אלו היו נוהגות בכל המעשים שהיו קודם שריפת הפרה.</w:t>
      </w:r>
    </w:p>
  </w:footnote>
  <w:footnote w:id="1418">
    <w:p w14:paraId="7E3B4DB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1418</w:t>
      </w:r>
      <w:r>
        <w:rPr>
          <w:rFonts w:ascii="David" w:hAnsi="David" w:cs="David"/>
          <w:sz w:val="24"/>
          <w:szCs w:val="24"/>
          <w:rtl/>
        </w:rPr>
        <w:t xml:space="preserve"> </w:t>
      </w:r>
      <w:r>
        <w:rPr>
          <w:rFonts w:ascii="David" w:hAnsi="David" w:cs="David"/>
          <w:color w:val="000000"/>
          <w:sz w:val="18"/>
          <w:szCs w:val="18"/>
          <w:rtl/>
        </w:rPr>
        <w:t>. עי' ציון 1426 ואילך.</w:t>
      </w:r>
    </w:p>
  </w:footnote>
  <w:footnote w:id="1419">
    <w:p w14:paraId="4421B8E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1419</w:t>
      </w:r>
      <w:r>
        <w:rPr>
          <w:rFonts w:ascii="David" w:hAnsi="David" w:cs="David"/>
          <w:sz w:val="24"/>
          <w:szCs w:val="24"/>
          <w:rtl/>
        </w:rPr>
        <w:t xml:space="preserve"> </w:t>
      </w:r>
      <w:r>
        <w:rPr>
          <w:rFonts w:ascii="David" w:hAnsi="David" w:cs="David"/>
          <w:color w:val="000000"/>
          <w:sz w:val="18"/>
          <w:szCs w:val="18"/>
          <w:rtl/>
        </w:rPr>
        <w:t>. ע"ע טבול יום ציון 352. עי' רש"י סוכה וזבחים שם; עי' ר"ש פרה שם; רא"ה סוכה שם; מאירי שם; ריטב"א שם; רע"ב פרה שם. וכ"מ ברמב"ם שם ה"א וז וח. ועי' יומא ב א, שמטעם זה עשו בה מעלה שכל מעשיה בכלים שאינם מקבלים טומאה, ועי' ציון 1447, וע"ע מעלות.</w:t>
      </w:r>
    </w:p>
  </w:footnote>
  <w:footnote w:id="1420">
    <w:p w14:paraId="5CC04CB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1420</w:t>
      </w:r>
      <w:r>
        <w:rPr>
          <w:rFonts w:ascii="David" w:hAnsi="David" w:cs="David"/>
          <w:sz w:val="24"/>
          <w:szCs w:val="24"/>
          <w:rtl/>
        </w:rPr>
        <w:t xml:space="preserve"> </w:t>
      </w:r>
      <w:r>
        <w:rPr>
          <w:rFonts w:ascii="David" w:hAnsi="David" w:cs="David"/>
          <w:color w:val="000000"/>
          <w:sz w:val="18"/>
          <w:szCs w:val="18"/>
          <w:rtl/>
        </w:rPr>
        <w:t>. חזו"א פרה סי' ו ס"ק ח.</w:t>
      </w:r>
    </w:p>
  </w:footnote>
  <w:footnote w:id="1421">
    <w:p w14:paraId="584BE28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1421</w:t>
      </w:r>
      <w:r>
        <w:rPr>
          <w:rFonts w:ascii="David" w:hAnsi="David" w:cs="David"/>
          <w:sz w:val="24"/>
          <w:szCs w:val="24"/>
          <w:rtl/>
        </w:rPr>
        <w:t xml:space="preserve"> </w:t>
      </w:r>
      <w:r>
        <w:rPr>
          <w:rFonts w:ascii="David" w:hAnsi="David" w:cs="David"/>
          <w:color w:val="000000"/>
          <w:sz w:val="18"/>
          <w:szCs w:val="18"/>
          <w:rtl/>
        </w:rPr>
        <w:t>. תפא"י בועז שם סוף אות ז. וכ"כ בבהגר"א לתוספתא שם פ"ג, לענין מעלות שעשו לטהרת האפר, ע"ע פרה אדומה.</w:t>
      </w:r>
    </w:p>
  </w:footnote>
  <w:footnote w:id="1422">
    <w:p w14:paraId="723ED51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1422</w:t>
      </w:r>
      <w:r>
        <w:rPr>
          <w:rFonts w:ascii="David" w:hAnsi="David" w:cs="David"/>
          <w:sz w:val="24"/>
          <w:szCs w:val="24"/>
          <w:rtl/>
        </w:rPr>
        <w:t xml:space="preserve"> </w:t>
      </w:r>
      <w:r>
        <w:rPr>
          <w:rFonts w:ascii="David" w:hAnsi="David" w:cs="David"/>
          <w:color w:val="000000"/>
          <w:sz w:val="18"/>
          <w:szCs w:val="18"/>
          <w:rtl/>
        </w:rPr>
        <w:t>. פהמ"ש שם מ"ג, ע"פ תוספ' שם, ושם שנחלקו תנאים אם כשעלו מהגולה היו בהם טהורים (ועי' ציון 1467), ועי' ציון 1465, שי"מ בע"א. ולפ"ז לכאו' בע"כ אף הקידוש היה ע"י התינוקות, וצ"ב שהרי להלכה קטן פסול לקידוש, עי' ציון 567, ועי' ציונים 183, 294, שי"ס שהקילו בקידוש זה שהוא להזאה שהיא משום מעלה, אבל לד' זו, לכאו' ההזאה היתה מעיקר הדין, ואולי הקידוש היה ע"י תינוקות שגדלו, ועי' מים טהורים חרד"ן פרה שם וערל"נ סוכה שם.</w:t>
      </w:r>
    </w:p>
  </w:footnote>
  <w:footnote w:id="1423">
    <w:p w14:paraId="6F8106E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1423</w:t>
      </w:r>
      <w:r>
        <w:rPr>
          <w:rFonts w:ascii="David" w:hAnsi="David" w:cs="David"/>
          <w:sz w:val="24"/>
          <w:szCs w:val="24"/>
          <w:rtl/>
        </w:rPr>
        <w:t xml:space="preserve"> </w:t>
      </w:r>
      <w:r>
        <w:rPr>
          <w:rFonts w:ascii="David" w:hAnsi="David" w:cs="David"/>
          <w:color w:val="000000"/>
          <w:sz w:val="18"/>
          <w:szCs w:val="18"/>
          <w:rtl/>
        </w:rPr>
        <w:t>. פהמ"ש שם במהדו"ב הנדמ"ח, ועי' חזו"א שם שהכריח כן, אף לגי' שבדפוסים.</w:t>
      </w:r>
    </w:p>
  </w:footnote>
  <w:footnote w:id="1424">
    <w:p w14:paraId="43F3A7C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1424</w:t>
      </w:r>
      <w:r>
        <w:rPr>
          <w:rFonts w:ascii="David" w:hAnsi="David" w:cs="David"/>
          <w:sz w:val="24"/>
          <w:szCs w:val="24"/>
          <w:rtl/>
        </w:rPr>
        <w:t xml:space="preserve"> </w:t>
      </w:r>
      <w:r>
        <w:rPr>
          <w:rFonts w:ascii="David" w:hAnsi="David" w:cs="David"/>
          <w:color w:val="000000"/>
          <w:sz w:val="18"/>
          <w:szCs w:val="18"/>
          <w:rtl/>
        </w:rPr>
        <w:t>. תפא"י שם.</w:t>
      </w:r>
    </w:p>
  </w:footnote>
  <w:footnote w:id="1425">
    <w:p w14:paraId="757997D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1425</w:t>
      </w:r>
      <w:r>
        <w:rPr>
          <w:rFonts w:ascii="David" w:hAnsi="David" w:cs="David"/>
          <w:sz w:val="24"/>
          <w:szCs w:val="24"/>
          <w:rtl/>
        </w:rPr>
        <w:t xml:space="preserve"> </w:t>
      </w:r>
      <w:r>
        <w:rPr>
          <w:rFonts w:ascii="David" w:hAnsi="David" w:cs="David"/>
          <w:color w:val="000000"/>
          <w:sz w:val="18"/>
          <w:szCs w:val="18"/>
          <w:rtl/>
        </w:rPr>
        <w:t>. עי' לעיל.</w:t>
      </w:r>
    </w:p>
  </w:footnote>
  <w:footnote w:id="1426">
    <w:p w14:paraId="54C25B8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1426</w:t>
      </w:r>
      <w:r>
        <w:rPr>
          <w:rFonts w:ascii="David" w:hAnsi="David" w:cs="David"/>
          <w:sz w:val="24"/>
          <w:szCs w:val="24"/>
          <w:rtl/>
        </w:rPr>
        <w:t xml:space="preserve"> </w:t>
      </w:r>
      <w:r>
        <w:rPr>
          <w:rFonts w:ascii="David" w:hAnsi="David" w:cs="David"/>
          <w:color w:val="000000"/>
          <w:sz w:val="18"/>
          <w:szCs w:val="18"/>
          <w:rtl/>
        </w:rPr>
        <w:t>. פרה פ"ג מ"ב; רמב"ם פרה פ"ב ה"ז. וע"ע טמאה רצוצה ציון 168 ואילך.</w:t>
      </w:r>
    </w:p>
  </w:footnote>
  <w:footnote w:id="1427">
    <w:p w14:paraId="3F3D6CC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1427</w:t>
      </w:r>
      <w:r>
        <w:rPr>
          <w:rFonts w:ascii="David" w:hAnsi="David" w:cs="David"/>
          <w:sz w:val="24"/>
          <w:szCs w:val="24"/>
          <w:rtl/>
        </w:rPr>
        <w:t xml:space="preserve"> </w:t>
      </w:r>
      <w:r>
        <w:rPr>
          <w:rFonts w:ascii="David" w:hAnsi="David" w:cs="David"/>
          <w:color w:val="000000"/>
          <w:sz w:val="18"/>
          <w:szCs w:val="18"/>
          <w:rtl/>
        </w:rPr>
        <w:t>. רש"י סוכה כא א ד"ה מפני (הא') ומאירי וריטב"א שם; ר"ש ורע"ב פרה שם. ועי' ערוך ע' קבר הב': כאילו מושקע בתהום.</w:t>
      </w:r>
    </w:p>
  </w:footnote>
  <w:footnote w:id="1428">
    <w:p w14:paraId="328222D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1428</w:t>
      </w:r>
      <w:r>
        <w:rPr>
          <w:rFonts w:ascii="David" w:hAnsi="David" w:cs="David"/>
          <w:sz w:val="24"/>
          <w:szCs w:val="24"/>
          <w:rtl/>
        </w:rPr>
        <w:t xml:space="preserve"> </w:t>
      </w:r>
      <w:r>
        <w:rPr>
          <w:rFonts w:ascii="David" w:hAnsi="David" w:cs="David"/>
          <w:color w:val="000000"/>
          <w:sz w:val="18"/>
          <w:szCs w:val="18"/>
          <w:rtl/>
        </w:rPr>
        <w:t>. עי' זבחים קיג א. ועי' תוס' שם ד"ה מעלה, שלד"ה אינו אלא מעלה (ועי' ציון 1417), אלא שהיה צד שאם לא ירד מבול בא"י, לא שייך מעלה. ועי' רע"א בכרם שלמה שנה יד קונ' ב עמ' יט אות ה וקר"א וחי' הגרי"ז שם וחזו"א פרה סי' ו ס"ק יא, בטעם שיש לחוש לטומאת התהום של גויים.</w:t>
      </w:r>
    </w:p>
  </w:footnote>
  <w:footnote w:id="1429">
    <w:p w14:paraId="457FA68A"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1429</w:t>
      </w:r>
      <w:r>
        <w:rPr>
          <w:rFonts w:ascii="David" w:hAnsi="David" w:cs="David"/>
          <w:sz w:val="24"/>
          <w:szCs w:val="24"/>
          <w:rtl/>
        </w:rPr>
        <w:t xml:space="preserve"> </w:t>
      </w:r>
      <w:r>
        <w:rPr>
          <w:rFonts w:ascii="David" w:hAnsi="David" w:cs="David"/>
          <w:color w:val="000000"/>
          <w:sz w:val="18"/>
          <w:szCs w:val="18"/>
          <w:rtl/>
        </w:rPr>
        <w:t>. ע"ע הנ"ל ציון 12. רע"ב פרה שם. ועי' להלן ציון 1449.</w:t>
      </w:r>
    </w:p>
  </w:footnote>
  <w:footnote w:id="1430">
    <w:p w14:paraId="4D24CF7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1430</w:t>
      </w:r>
      <w:r>
        <w:rPr>
          <w:rFonts w:ascii="David" w:hAnsi="David" w:cs="David"/>
          <w:sz w:val="24"/>
          <w:szCs w:val="24"/>
          <w:rtl/>
        </w:rPr>
        <w:t xml:space="preserve"> </w:t>
      </w:r>
      <w:r>
        <w:rPr>
          <w:rFonts w:ascii="David" w:hAnsi="David" w:cs="David"/>
          <w:color w:val="000000"/>
          <w:sz w:val="18"/>
          <w:szCs w:val="18"/>
          <w:rtl/>
        </w:rPr>
        <w:t>. רע"ב שם.</w:t>
      </w:r>
    </w:p>
  </w:footnote>
  <w:footnote w:id="1431">
    <w:p w14:paraId="18376E6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1431</w:t>
      </w:r>
      <w:r>
        <w:rPr>
          <w:rFonts w:ascii="David" w:hAnsi="David" w:cs="David"/>
          <w:sz w:val="24"/>
          <w:szCs w:val="24"/>
          <w:rtl/>
        </w:rPr>
        <w:t xml:space="preserve"> </w:t>
      </w:r>
      <w:r>
        <w:rPr>
          <w:rFonts w:ascii="David" w:hAnsi="David" w:cs="David"/>
          <w:color w:val="000000"/>
          <w:sz w:val="18"/>
          <w:szCs w:val="18"/>
          <w:rtl/>
        </w:rPr>
        <w:t>. משנה שם; רמב"ם שם. ועי' מאירי וערל"נ סוכה שם ונתיב חיים למג"א סי' שמג ס"ק ב, שקודם לידה אין העובר נטמא, שהוא טהרה בלועה, ועי' משמרות כהונה שם וחדרי דעה סי' שעא לש"ך ס"ק א, וע"ע טמאה בלועה; טהרה בלועה ציון 275 ואילך וע' טמאת כהנים; טמאת קרובים ציון 117 ואילך. ועי' ערל"נ שם, שבכל עת היו מגדלים ילדים, שמא יזדמן שיצטרכו פרה.</w:t>
      </w:r>
    </w:p>
  </w:footnote>
  <w:footnote w:id="1432">
    <w:p w14:paraId="219265E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1432</w:t>
      </w:r>
      <w:r>
        <w:rPr>
          <w:rFonts w:ascii="David" w:hAnsi="David" w:cs="David"/>
          <w:sz w:val="24"/>
          <w:szCs w:val="24"/>
          <w:rtl/>
        </w:rPr>
        <w:t xml:space="preserve"> </w:t>
      </w:r>
      <w:r>
        <w:rPr>
          <w:rFonts w:ascii="David" w:hAnsi="David" w:cs="David"/>
          <w:color w:val="000000"/>
          <w:sz w:val="18"/>
          <w:szCs w:val="18"/>
          <w:rtl/>
        </w:rPr>
        <w:t>. תוספתא שם פ"ג, הובאה ברש"י סוכה שם ד"ה ומביאין נשים ובתוס' שם ד"ה ומביאין ובמאירי שם ובר"ש פרה שם; רע"ב שם. ועי' רע"ב שם, שהגי' בני ח', וכ"ה בתוספ' לפנינו (ובטעות: י"ח, ועי' חזו"א שם סוס"ק ט), אבל גי' הגר"א כשא"ר, ועי' רא"ה וריטב"א סוכה שם, שנ' שהיינו עד ולא עד בכלל, ועי' בית מאיר או"ח סי' תנז ס"ב, וע' ציון הבא וע' בעל קרי ציון 64. ועי' בית מאיר וחזו"א שם, בטעם השמטת הרמב"ם.</w:t>
      </w:r>
    </w:p>
  </w:footnote>
  <w:footnote w:id="1433">
    <w:p w14:paraId="085BAFD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1433</w:t>
      </w:r>
      <w:r>
        <w:rPr>
          <w:rFonts w:ascii="David" w:hAnsi="David" w:cs="David"/>
          <w:sz w:val="24"/>
          <w:szCs w:val="24"/>
          <w:rtl/>
        </w:rPr>
        <w:t xml:space="preserve"> </w:t>
      </w:r>
      <w:r>
        <w:rPr>
          <w:rFonts w:ascii="David" w:hAnsi="David" w:cs="David"/>
          <w:color w:val="000000"/>
          <w:sz w:val="18"/>
          <w:szCs w:val="18"/>
          <w:rtl/>
        </w:rPr>
        <w:t>. רש"י שם; תוס' סוכה וזבחים שם ד"ה ומביאין; ר"ש ורע"ב פרה שם; רא"ה ומאירי וריטב"א סוכה שם. ועי' תוס' שם ושם, שאע"פ שהיו התינוקות טמאים בטומאת נדה ויולדת, לא היו חוששים לשומרם אלא מטומאת מת ובעל קרי, (והיינו שאע"פ שלקרי מועילה טבילה, שמרו שלא יטמאו כלל, ועי' חזו"נ ומים טהורים חרד"ן פרה שם), ועי' רא"ה ומאירי שם, ועי' להלן, וכעי"ז בריטב"א שם, ופי' שלהזאה שהיו צריכים גדול, שא"א לשמרו מקרי, לכך לא היו שומרים אותו אף מטומאת התהום. ועי' ריטב"א שם, שהחשש שיראו קרי שלא בהרגשה, ועי' ערל"נ שם. על דין קטן שראה קרי, אם הוא טהור, או שאע"פ שנטמא אין חוששים שראה, ע"ע הנ"ל ציון 60 ואילך, ועי' מים טהורים שם. ועי' חס"ד שם, שפי' בד' הרמב"ם שגידלום כדי שיהיה בהם קצת דעת, ובלא זה לא הקלו להכשיר מילוי וקידוש של קטן, עי' לעיל ציונים 183, 578.</w:t>
      </w:r>
    </w:p>
  </w:footnote>
  <w:footnote w:id="1434">
    <w:p w14:paraId="4074FCE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1434</w:t>
      </w:r>
      <w:r>
        <w:rPr>
          <w:rFonts w:ascii="David" w:hAnsi="David" w:cs="David"/>
          <w:sz w:val="24"/>
          <w:szCs w:val="24"/>
          <w:rtl/>
        </w:rPr>
        <w:t xml:space="preserve"> </w:t>
      </w:r>
      <w:r>
        <w:rPr>
          <w:rFonts w:ascii="David" w:hAnsi="David" w:cs="David"/>
          <w:color w:val="000000"/>
          <w:sz w:val="18"/>
          <w:szCs w:val="18"/>
          <w:rtl/>
        </w:rPr>
        <w:t>. תוספתא שם, הובאה בפהמ"ש שם מ"ד ובסמ"ג עשין רלב ובר"ש שם מ"ב ובתוס' סוכה שם; רמב"ם שם; רע"ב שם מ"ד.</w:t>
      </w:r>
    </w:p>
  </w:footnote>
  <w:footnote w:id="1435">
    <w:p w14:paraId="63162B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1435</w:t>
      </w:r>
      <w:r>
        <w:rPr>
          <w:rFonts w:ascii="David" w:hAnsi="David" w:cs="David"/>
          <w:sz w:val="24"/>
          <w:szCs w:val="24"/>
          <w:rtl/>
        </w:rPr>
        <w:t xml:space="preserve"> </w:t>
      </w:r>
      <w:r>
        <w:rPr>
          <w:rFonts w:ascii="David" w:hAnsi="David" w:cs="David"/>
          <w:color w:val="000000"/>
          <w:sz w:val="18"/>
          <w:szCs w:val="18"/>
          <w:rtl/>
        </w:rPr>
        <w:t>. רמב"ם ופהמ"ש שם; סמ"ג שם; תוי"ט שם, ושלכך אף אם טבלו מחמת מגע אמם כשנולדו, צריכים לטבול, ועי' ריטב"א סוכה שם, ועי' חזו"נ פרה שם מ"ג וד ומים טהורים חרד"ן שם וכרם שלמה שנה כא קונ' ח עמ' כא. ועי' חזו"א שם ס"ק ד, אם התינוקות היו שמורים כל ימיהם לטהרת חטאת, ואם היו מטמאים אותם קודם הטבילה, ובל' הראשונים נ' שלא היו מטמאים אותם.</w:t>
      </w:r>
    </w:p>
  </w:footnote>
  <w:footnote w:id="1436">
    <w:p w14:paraId="6495F01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1436</w:t>
      </w:r>
      <w:r>
        <w:rPr>
          <w:rFonts w:ascii="David" w:hAnsi="David" w:cs="David"/>
          <w:sz w:val="24"/>
          <w:szCs w:val="24"/>
          <w:rtl/>
        </w:rPr>
        <w:t xml:space="preserve"> </w:t>
      </w:r>
      <w:r>
        <w:rPr>
          <w:rFonts w:ascii="David" w:hAnsi="David" w:cs="David"/>
          <w:color w:val="000000"/>
          <w:sz w:val="18"/>
          <w:szCs w:val="18"/>
          <w:rtl/>
        </w:rPr>
        <w:t>. משנה פרה שם. ועי' פהמ"ש שם, בביאור המחלוקת.</w:t>
      </w:r>
    </w:p>
  </w:footnote>
  <w:footnote w:id="1437">
    <w:p w14:paraId="6729CD85"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1437</w:t>
      </w:r>
      <w:r>
        <w:rPr>
          <w:rFonts w:ascii="David" w:hAnsi="David" w:cs="David"/>
          <w:sz w:val="24"/>
          <w:szCs w:val="24"/>
          <w:rtl/>
        </w:rPr>
        <w:t xml:space="preserve"> </w:t>
      </w:r>
      <w:r>
        <w:rPr>
          <w:rFonts w:ascii="David" w:hAnsi="David" w:cs="David"/>
          <w:color w:val="000000"/>
          <w:sz w:val="18"/>
          <w:szCs w:val="18"/>
          <w:rtl/>
        </w:rPr>
        <w:t>. עי' רמב"ם שם; סמ"ג שם; רע"ב שם.</w:t>
      </w:r>
    </w:p>
  </w:footnote>
  <w:footnote w:id="1438">
    <w:p w14:paraId="49BE559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1438</w:t>
      </w:r>
      <w:r>
        <w:rPr>
          <w:rFonts w:ascii="David" w:hAnsi="David" w:cs="David"/>
          <w:sz w:val="24"/>
          <w:szCs w:val="24"/>
          <w:rtl/>
        </w:rPr>
        <w:t xml:space="preserve"> </w:t>
      </w:r>
      <w:r>
        <w:rPr>
          <w:rFonts w:ascii="David" w:hAnsi="David" w:cs="David"/>
          <w:color w:val="000000"/>
          <w:sz w:val="18"/>
          <w:szCs w:val="18"/>
          <w:rtl/>
        </w:rPr>
        <w:t>. עי' ר"ש ואגודה ותפא"י פרה שם, בפי' משנה שם: ולא תינוק ע"ג חבירו. ועי' פהמ"ש לרמב"ם שם, שפי' באופ"א, שאם טבלו ע"מ שיעשה ע"י תינוק אחד, ובא לעשותו ע"י אחר, צריך טבילה, וכעי"ז ברמב"ם שם ה"ח.</w:t>
      </w:r>
    </w:p>
  </w:footnote>
  <w:footnote w:id="1439">
    <w:p w14:paraId="25E729E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1439</w:t>
      </w:r>
      <w:r>
        <w:rPr>
          <w:rFonts w:ascii="David" w:hAnsi="David" w:cs="David"/>
          <w:sz w:val="24"/>
          <w:szCs w:val="24"/>
          <w:rtl/>
        </w:rPr>
        <w:t xml:space="preserve"> </w:t>
      </w:r>
      <w:r>
        <w:rPr>
          <w:rFonts w:ascii="David" w:hAnsi="David" w:cs="David"/>
          <w:color w:val="000000"/>
          <w:sz w:val="18"/>
          <w:szCs w:val="18"/>
          <w:rtl/>
        </w:rPr>
        <w:t>. חזו"א שם ס"ק א, וע"ש בטעם שטהור מעיקר הדין. ועי' תפא"י שם.</w:t>
      </w:r>
    </w:p>
  </w:footnote>
  <w:footnote w:id="1440">
    <w:p w14:paraId="303F296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1440</w:t>
      </w:r>
      <w:r>
        <w:rPr>
          <w:rFonts w:ascii="David" w:hAnsi="David" w:cs="David"/>
          <w:sz w:val="24"/>
          <w:szCs w:val="24"/>
          <w:rtl/>
        </w:rPr>
        <w:t xml:space="preserve"> </w:t>
      </w:r>
      <w:r>
        <w:rPr>
          <w:rFonts w:ascii="David" w:hAnsi="David" w:cs="David"/>
          <w:color w:val="000000"/>
          <w:sz w:val="18"/>
          <w:szCs w:val="18"/>
          <w:rtl/>
        </w:rPr>
        <w:t>. רא"ה סוכה כא א, ושם שלא היו מיוחדות לצורך זה, שא"כ מטמאות מדרס; ריטב"א שם.</w:t>
      </w:r>
    </w:p>
  </w:footnote>
  <w:footnote w:id="1441">
    <w:p w14:paraId="022548B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1441</w:t>
      </w:r>
      <w:r>
        <w:rPr>
          <w:rFonts w:ascii="David" w:hAnsi="David" w:cs="David"/>
          <w:sz w:val="24"/>
          <w:szCs w:val="24"/>
          <w:rtl/>
        </w:rPr>
        <w:t xml:space="preserve"> </w:t>
      </w:r>
      <w:r>
        <w:rPr>
          <w:rFonts w:ascii="David" w:hAnsi="David" w:cs="David"/>
          <w:color w:val="000000"/>
          <w:sz w:val="18"/>
          <w:szCs w:val="18"/>
          <w:rtl/>
        </w:rPr>
        <w:t>. פרה פ"ג מ"ב, ורש"י סוכה שם ד"ה ומביאין שוורים; רמב"ם פרה פ"ב ה"ז; סמ"ג עשין רלב.</w:t>
      </w:r>
    </w:p>
  </w:footnote>
  <w:footnote w:id="1442">
    <w:p w14:paraId="6B64441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1442</w:t>
      </w:r>
      <w:r>
        <w:rPr>
          <w:rFonts w:ascii="David" w:hAnsi="David" w:cs="David"/>
          <w:sz w:val="24"/>
          <w:szCs w:val="24"/>
          <w:rtl/>
        </w:rPr>
        <w:t xml:space="preserve"> </w:t>
      </w:r>
      <w:r>
        <w:rPr>
          <w:rFonts w:ascii="David" w:hAnsi="David" w:cs="David"/>
          <w:color w:val="000000"/>
          <w:sz w:val="18"/>
          <w:szCs w:val="18"/>
          <w:rtl/>
        </w:rPr>
        <w:t>. ע"ע טומאת אהל ציון 16 ואילך. רע"ב פרה שם, ועי' שפ"א סוכה שם. ועי' להלן ציון 1445.</w:t>
      </w:r>
    </w:p>
  </w:footnote>
  <w:footnote w:id="1443">
    <w:p w14:paraId="00950080"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1443</w:t>
      </w:r>
      <w:r>
        <w:rPr>
          <w:rFonts w:ascii="David" w:hAnsi="David" w:cs="David"/>
          <w:sz w:val="24"/>
          <w:szCs w:val="24"/>
          <w:rtl/>
        </w:rPr>
        <w:t xml:space="preserve"> </w:t>
      </w:r>
      <w:r>
        <w:rPr>
          <w:rFonts w:ascii="David" w:hAnsi="David" w:cs="David"/>
          <w:color w:val="000000"/>
          <w:sz w:val="18"/>
          <w:szCs w:val="18"/>
          <w:rtl/>
        </w:rPr>
        <w:t>. עי' רש"י שם ד"ה והרי, ותוס' שם ד"ה והרי. ועי' ריטב"א שם, שהחידוש בדלתות שאע"פ שנעשו מתחילה שלא לשם אוהל חוצץ, ועי' שפ"א שם.</w:t>
      </w:r>
    </w:p>
  </w:footnote>
  <w:footnote w:id="1444">
    <w:p w14:paraId="6F40E6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1444</w:t>
      </w:r>
      <w:r>
        <w:rPr>
          <w:rFonts w:ascii="David" w:hAnsi="David" w:cs="David"/>
          <w:sz w:val="24"/>
          <w:szCs w:val="24"/>
          <w:rtl/>
        </w:rPr>
        <w:t xml:space="preserve"> </w:t>
      </w:r>
      <w:r>
        <w:rPr>
          <w:rFonts w:ascii="David" w:hAnsi="David" w:cs="David"/>
          <w:color w:val="000000"/>
          <w:sz w:val="18"/>
          <w:szCs w:val="18"/>
          <w:rtl/>
        </w:rPr>
        <w:t>. ברייתא סוכה שם ב, וע"ש א, שכ"ד רבא, ואביי פי' ד' ר' יהודה שא"צ להביא דלתות. ועי' תוס' שם וזבחים קיג א ד"ה ועל, שלסוברים שאהל זרוק אינו אוהל, ע"ע אהל זרוק ציון 3, אין הדלתות מועילות, והיו צריכים להביא שוורים שכריסם רחבה, ועי' מל"מ טומאת מת פי"א ה"א שהק' שד' רמב"ם ועוד שהלכה שאינו אוהל, ע"ע הנ"ל ציון 14, ואעפ"כ כ' הרמב"ם שמביאים דלתות, עי' לעיל, וע"ש ופנ"י סוכה שם וחס"ד נגעים פ"ו הי"ב, שהקילו בזה, כיון שמה"ת הוא אהל, ע"ע הנ"ל ציון 11, וא"א בע"א, וכעי"ז במאירי ערובין ל ב, ועי' ערל"נ סוכה שם, שיישב לשיטת רמב"ם שבציון הבא, ועי' ריטב"א ערובין לא א ומים טהורים חרד"ן פרה שם ושפ"א סוכה שם, וע"ע הנ"ל ציון 22 ואילך, שי"ס שאינו חשוב אהל זרוק, ע"ש הטעמים. ועי' ציון הבא.</w:t>
      </w:r>
    </w:p>
  </w:footnote>
  <w:footnote w:id="1445">
    <w:p w14:paraId="27D0BDF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1445</w:t>
      </w:r>
      <w:r>
        <w:rPr>
          <w:rFonts w:ascii="David" w:hAnsi="David" w:cs="David"/>
          <w:sz w:val="24"/>
          <w:szCs w:val="24"/>
          <w:rtl/>
        </w:rPr>
        <w:t xml:space="preserve"> </w:t>
      </w:r>
      <w:r>
        <w:rPr>
          <w:rFonts w:ascii="David" w:hAnsi="David" w:cs="David"/>
          <w:color w:val="000000"/>
          <w:sz w:val="18"/>
          <w:szCs w:val="18"/>
          <w:rtl/>
        </w:rPr>
        <w:t>. רש"י סוכה שם ד"ה אלא. ועי' רע"ב פרה שם, שאף לד' ת"ק היו מביאים שוורים שכריסם רחבה, ומה שהצריכו דלתות היא מעלה יתירה, וכ"מ ברמב"ם ובפהמ"ש שם, עי' חס"ד פרה וערל"נ סוכה שם, ועי' א"ר פרה שם ותפא"י בועז שם אות ג, שהם חולקים, שלד' המשנה לא הצריכו אלא דלתות, וכ"נ במאירי סוכה שם, וכ"כ בערל"נ שם, בד' רש"י שם.</w:t>
      </w:r>
    </w:p>
  </w:footnote>
  <w:footnote w:id="1446">
    <w:p w14:paraId="0E15955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1446</w:t>
      </w:r>
      <w:r>
        <w:rPr>
          <w:rFonts w:ascii="David" w:hAnsi="David" w:cs="David"/>
          <w:sz w:val="24"/>
          <w:szCs w:val="24"/>
          <w:rtl/>
        </w:rPr>
        <w:t xml:space="preserve"> </w:t>
      </w:r>
      <w:r>
        <w:rPr>
          <w:rFonts w:ascii="David" w:hAnsi="David" w:cs="David"/>
          <w:color w:val="000000"/>
          <w:sz w:val="18"/>
          <w:szCs w:val="18"/>
          <w:rtl/>
        </w:rPr>
        <w:t>. בהגר"א לתוספתא שם.</w:t>
      </w:r>
    </w:p>
  </w:footnote>
  <w:footnote w:id="1447">
    <w:p w14:paraId="6D0FCD5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1447</w:t>
      </w:r>
      <w:r>
        <w:rPr>
          <w:rFonts w:ascii="David" w:hAnsi="David" w:cs="David"/>
          <w:sz w:val="24"/>
          <w:szCs w:val="24"/>
          <w:rtl/>
        </w:rPr>
        <w:t xml:space="preserve"> </w:t>
      </w:r>
      <w:r>
        <w:rPr>
          <w:rFonts w:ascii="David" w:hAnsi="David" w:cs="David"/>
          <w:color w:val="000000"/>
          <w:sz w:val="18"/>
          <w:szCs w:val="18"/>
          <w:rtl/>
        </w:rPr>
        <w:t>. משנה פרה שם. וע"ע מעלות, שכל מעשי הפרה היו בכלים של אבן, ושם אם מעלה זו היא דוקא קודם שריפת הפרה, ועי' לעיל ציון 451.</w:t>
      </w:r>
    </w:p>
  </w:footnote>
  <w:footnote w:id="1448">
    <w:p w14:paraId="1244E05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1448</w:t>
      </w:r>
      <w:r>
        <w:rPr>
          <w:rFonts w:ascii="David" w:hAnsi="David" w:cs="David"/>
          <w:sz w:val="24"/>
          <w:szCs w:val="24"/>
          <w:rtl/>
        </w:rPr>
        <w:t xml:space="preserve"> </w:t>
      </w:r>
      <w:r>
        <w:rPr>
          <w:rFonts w:ascii="David" w:hAnsi="David" w:cs="David"/>
          <w:color w:val="000000"/>
          <w:sz w:val="18"/>
          <w:szCs w:val="18"/>
          <w:rtl/>
        </w:rPr>
        <w:t>. רמב"ם ופהמ"ש שם; סמ"ג שם; רע"ב שם.</w:t>
      </w:r>
    </w:p>
  </w:footnote>
  <w:footnote w:id="1449">
    <w:p w14:paraId="7760295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1449</w:t>
      </w:r>
      <w:r>
        <w:rPr>
          <w:rFonts w:ascii="David" w:hAnsi="David" w:cs="David"/>
          <w:sz w:val="24"/>
          <w:szCs w:val="24"/>
          <w:rtl/>
        </w:rPr>
        <w:t xml:space="preserve"> </w:t>
      </w:r>
      <w:r>
        <w:rPr>
          <w:rFonts w:ascii="David" w:hAnsi="David" w:cs="David"/>
          <w:color w:val="000000"/>
          <w:sz w:val="18"/>
          <w:szCs w:val="18"/>
          <w:rtl/>
        </w:rPr>
        <w:t>. סוכה שם, ונ' שגרסו כן במשנה, ובמשנה שלפנינו אינו. ועי' תוס' ערובין עט א ד"ה הרי, בטעם שר"י חושש לכך, אף שלשיטתו טומאה רצוצה אינה בוקעת, ע"ע טמאה רצוצה ציון 18. ועי' חזו"א פרה סי' ו ס"ק יא, בטעם שחששו לכך, אף על פי שא"כ אף המים טמאים.</w:t>
      </w:r>
    </w:p>
  </w:footnote>
  <w:footnote w:id="1450">
    <w:p w14:paraId="3F1E3151"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1450</w:t>
      </w:r>
      <w:r>
        <w:rPr>
          <w:rFonts w:ascii="David" w:hAnsi="David" w:cs="David"/>
          <w:sz w:val="24"/>
          <w:szCs w:val="24"/>
          <w:rtl/>
        </w:rPr>
        <w:t xml:space="preserve"> </w:t>
      </w:r>
      <w:r>
        <w:rPr>
          <w:rFonts w:ascii="David" w:hAnsi="David" w:cs="David"/>
          <w:color w:val="000000"/>
          <w:sz w:val="18"/>
          <w:szCs w:val="18"/>
          <w:rtl/>
        </w:rPr>
        <w:t>. עי' פהמ"ש פרה שם. ועי' תוי"ט שם, שהיינו אפי' בתוך הנהר, ועי' בית דוד ושושנים לדוד ומים טהורים חרד"ן שם, ועי' חס"ד לתוספתא שם, שמ' שאין החשש אלא בצידי הנהר, ועי' חזו"א שם, ועי' ציון הבא.</w:t>
      </w:r>
    </w:p>
  </w:footnote>
  <w:footnote w:id="1451">
    <w:p w14:paraId="0456B41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1451</w:t>
      </w:r>
      <w:r>
        <w:rPr>
          <w:rFonts w:ascii="David" w:hAnsi="David" w:cs="David"/>
          <w:sz w:val="24"/>
          <w:szCs w:val="24"/>
          <w:rtl/>
        </w:rPr>
        <w:t xml:space="preserve"> </w:t>
      </w:r>
      <w:r>
        <w:rPr>
          <w:rFonts w:ascii="David" w:hAnsi="David" w:cs="David"/>
          <w:color w:val="000000"/>
          <w:sz w:val="18"/>
          <w:szCs w:val="18"/>
          <w:rtl/>
        </w:rPr>
        <w:t>. עי' רמב"ם ופהמ"ש שם; סמ"ג שם; מאירי סוכה שם; רע"ב פרה שם. ועי' תוי"ט וחס"ד שבציון הקודם. ועי' תוס' סוכה כא א ד"ה ירדו: דרבנן סברי משום ההוא פורתא לא חיישינן לקבר התהום ור' יוסי חייש, וכעי"ז ברא"ה וריטב"א שם, ועי' תוי"ט שם שלדעתם היו יורדים על שפת הנהר, ועי' ציון הקודם. ועי' בית דוד ושושנים לדוד ומים טהורים פרה שם, בטעם שאין לחוש שטבע שם אדם. ועי' חזו"א שם, בטעם שלא חששו למתי מבול.</w:t>
      </w:r>
    </w:p>
  </w:footnote>
  <w:footnote w:id="1452">
    <w:p w14:paraId="0D478AA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1452</w:t>
      </w:r>
      <w:r>
        <w:rPr>
          <w:rFonts w:ascii="David" w:hAnsi="David" w:cs="David"/>
          <w:sz w:val="24"/>
          <w:szCs w:val="24"/>
          <w:rtl/>
        </w:rPr>
        <w:t xml:space="preserve"> </w:t>
      </w:r>
      <w:r>
        <w:rPr>
          <w:rFonts w:ascii="David" w:hAnsi="David" w:cs="David"/>
          <w:color w:val="000000"/>
          <w:sz w:val="18"/>
          <w:szCs w:val="18"/>
          <w:rtl/>
        </w:rPr>
        <w:t>. ציון 298 ואילך. וצ"ב אם לדעתם אין חשש קבר התהום בנהר, או שאע"פ שיש חשש, כיון שצריך למלאות בידיו, הוצרכו לירד ולסמוך שאין שם טומאה, ועי' ציון 303.</w:t>
      </w:r>
    </w:p>
  </w:footnote>
  <w:footnote w:id="1453">
    <w:p w14:paraId="0C9F20A2"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1453</w:t>
      </w:r>
      <w:r>
        <w:rPr>
          <w:rFonts w:ascii="David" w:hAnsi="David" w:cs="David"/>
          <w:sz w:val="24"/>
          <w:szCs w:val="24"/>
          <w:rtl/>
        </w:rPr>
        <w:t xml:space="preserve"> </w:t>
      </w:r>
      <w:r>
        <w:rPr>
          <w:rFonts w:ascii="David" w:hAnsi="David" w:cs="David"/>
          <w:color w:val="000000"/>
          <w:sz w:val="18"/>
          <w:szCs w:val="18"/>
          <w:rtl/>
        </w:rPr>
        <w:t>. עי' ציון 171.</w:t>
      </w:r>
    </w:p>
  </w:footnote>
  <w:footnote w:id="1454">
    <w:p w14:paraId="4FB392E9"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1454</w:t>
      </w:r>
      <w:r>
        <w:rPr>
          <w:rFonts w:ascii="David" w:hAnsi="David" w:cs="David"/>
          <w:sz w:val="24"/>
          <w:szCs w:val="24"/>
          <w:rtl/>
        </w:rPr>
        <w:t xml:space="preserve"> </w:t>
      </w:r>
      <w:r>
        <w:rPr>
          <w:rFonts w:ascii="David" w:hAnsi="David" w:cs="David"/>
          <w:color w:val="000000"/>
          <w:sz w:val="18"/>
          <w:szCs w:val="18"/>
          <w:rtl/>
        </w:rPr>
        <w:t>. ציון 182 ואילך.</w:t>
      </w:r>
    </w:p>
  </w:footnote>
  <w:footnote w:id="1455">
    <w:p w14:paraId="3717C6F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1455</w:t>
      </w:r>
      <w:r>
        <w:rPr>
          <w:rFonts w:ascii="David" w:hAnsi="David" w:cs="David"/>
          <w:sz w:val="24"/>
          <w:szCs w:val="24"/>
          <w:rtl/>
        </w:rPr>
        <w:t xml:space="preserve"> </w:t>
      </w:r>
      <w:r>
        <w:rPr>
          <w:rFonts w:ascii="David" w:hAnsi="David" w:cs="David"/>
          <w:color w:val="000000"/>
          <w:sz w:val="18"/>
          <w:szCs w:val="18"/>
          <w:rtl/>
        </w:rPr>
        <w:t>. תוספתא שם, לגי' ר"ש שם. ועי' תוס' סוכה שם, של"ג ר' יעקב אלא ר"ע. ועי' תוספתא שם, שהשיב להם ר' יעקב: אל תתנו מקום למינים לרדד אחריכם, ועי' ציון 294.</w:t>
      </w:r>
    </w:p>
  </w:footnote>
  <w:footnote w:id="1456">
    <w:p w14:paraId="2639C9A7"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1456</w:t>
      </w:r>
      <w:r>
        <w:rPr>
          <w:rFonts w:ascii="David" w:hAnsi="David" w:cs="David"/>
          <w:sz w:val="24"/>
          <w:szCs w:val="24"/>
          <w:rtl/>
        </w:rPr>
        <w:t xml:space="preserve"> </w:t>
      </w:r>
      <w:r>
        <w:rPr>
          <w:rFonts w:ascii="David" w:hAnsi="David" w:cs="David"/>
          <w:color w:val="000000"/>
          <w:sz w:val="18"/>
          <w:szCs w:val="18"/>
          <w:rtl/>
        </w:rPr>
        <w:t>. חס"ד שם, וכעי"ז בבהגר"א שם. אבל אפשר שלא שלשלו, משום שהם סוברים שצריך מילוי ביד, עי' ציון 298 ואילך. ועי' חזו"א שם, בע"א.</w:t>
      </w:r>
    </w:p>
  </w:footnote>
  <w:footnote w:id="1457">
    <w:p w14:paraId="11F9DB2C"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1457</w:t>
      </w:r>
      <w:r>
        <w:rPr>
          <w:rFonts w:ascii="David" w:hAnsi="David" w:cs="David"/>
          <w:sz w:val="24"/>
          <w:szCs w:val="24"/>
          <w:rtl/>
        </w:rPr>
        <w:t xml:space="preserve"> </w:t>
      </w:r>
      <w:r>
        <w:rPr>
          <w:rFonts w:ascii="David" w:hAnsi="David" w:cs="David"/>
          <w:color w:val="000000"/>
          <w:sz w:val="18"/>
          <w:szCs w:val="18"/>
          <w:rtl/>
        </w:rPr>
        <w:t>. ציון 281 ואילך.</w:t>
      </w:r>
    </w:p>
  </w:footnote>
  <w:footnote w:id="1458">
    <w:p w14:paraId="3959CFB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1458</w:t>
      </w:r>
      <w:r>
        <w:rPr>
          <w:rFonts w:ascii="David" w:hAnsi="David" w:cs="David"/>
          <w:sz w:val="24"/>
          <w:szCs w:val="24"/>
          <w:rtl/>
        </w:rPr>
        <w:t xml:space="preserve"> </w:t>
      </w:r>
      <w:r>
        <w:rPr>
          <w:rFonts w:ascii="David" w:hAnsi="David" w:cs="David"/>
          <w:color w:val="000000"/>
          <w:sz w:val="18"/>
          <w:szCs w:val="18"/>
          <w:rtl/>
        </w:rPr>
        <w:t>. עי' רמב"ם פרה פ"ב ה"ז; עי' סמ"ג עשין רלב; ר"ש פרה פ"ג מ"ג; רע"ב שם.</w:t>
      </w:r>
    </w:p>
  </w:footnote>
  <w:footnote w:id="1459">
    <w:p w14:paraId="4583A50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1459</w:t>
      </w:r>
      <w:r>
        <w:rPr>
          <w:rFonts w:ascii="David" w:hAnsi="David" w:cs="David"/>
          <w:sz w:val="24"/>
          <w:szCs w:val="24"/>
          <w:rtl/>
        </w:rPr>
        <w:t xml:space="preserve"> </w:t>
      </w:r>
      <w:r>
        <w:rPr>
          <w:rFonts w:ascii="David" w:hAnsi="David" w:cs="David"/>
          <w:color w:val="000000"/>
          <w:sz w:val="18"/>
          <w:szCs w:val="18"/>
          <w:rtl/>
        </w:rPr>
        <w:t>. משנה שם; רמב"ם שם. ועי' ציון 1426 ואילך.</w:t>
      </w:r>
    </w:p>
  </w:footnote>
  <w:footnote w:id="1460">
    <w:p w14:paraId="665F0B2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1460</w:t>
      </w:r>
      <w:r>
        <w:rPr>
          <w:rFonts w:ascii="David" w:hAnsi="David" w:cs="David"/>
          <w:sz w:val="24"/>
          <w:szCs w:val="24"/>
          <w:rtl/>
        </w:rPr>
        <w:t xml:space="preserve"> </w:t>
      </w:r>
      <w:r>
        <w:rPr>
          <w:rFonts w:ascii="David" w:hAnsi="David" w:cs="David"/>
          <w:color w:val="000000"/>
          <w:sz w:val="18"/>
          <w:szCs w:val="18"/>
          <w:rtl/>
        </w:rPr>
        <w:t>. תפא"י שם אות כא. ועי' תוי"ט שם, שבר"ש (ורא"ש) ורע"ב שם מ' שלא היו יורדים מן השוורים, וכ"ה באגודה שם, ועי' להלן, ופי' בתוי"ט שמה שאמרו "ירדו" אינו בפרה שעשו כשעלו מהגולה (ועי' להלן), וכ' שהוא דוחק. ועי' רש"ש שם בד' תוס' שבציון 189, שהתינוקות ירדו והלכו לבתיהם.</w:t>
      </w:r>
    </w:p>
  </w:footnote>
  <w:footnote w:id="1461">
    <w:p w14:paraId="673BE2E8"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1461</w:t>
      </w:r>
      <w:r>
        <w:rPr>
          <w:rFonts w:ascii="David" w:hAnsi="David" w:cs="David"/>
          <w:sz w:val="24"/>
          <w:szCs w:val="24"/>
          <w:rtl/>
        </w:rPr>
        <w:t xml:space="preserve"> </w:t>
      </w:r>
      <w:r>
        <w:rPr>
          <w:rFonts w:ascii="David" w:hAnsi="David" w:cs="David"/>
          <w:color w:val="000000"/>
          <w:sz w:val="18"/>
          <w:szCs w:val="18"/>
          <w:rtl/>
        </w:rPr>
        <w:t>. ר"ש שם; רא"ש שם; רע"ב שם: הסמוכה לחיל, ועי' תוי"ט שם. ועי' בהגר"א שם: בפתח החיל.</w:t>
      </w:r>
    </w:p>
  </w:footnote>
  <w:footnote w:id="1462">
    <w:p w14:paraId="7F7CD544"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1462</w:t>
      </w:r>
      <w:r>
        <w:rPr>
          <w:rFonts w:ascii="David" w:hAnsi="David" w:cs="David"/>
          <w:sz w:val="24"/>
          <w:szCs w:val="24"/>
          <w:rtl/>
        </w:rPr>
        <w:t xml:space="preserve"> </w:t>
      </w:r>
      <w:r>
        <w:rPr>
          <w:rFonts w:ascii="David" w:hAnsi="David" w:cs="David"/>
          <w:color w:val="000000"/>
          <w:sz w:val="18"/>
          <w:szCs w:val="18"/>
          <w:rtl/>
        </w:rPr>
        <w:t>. ערוך ע' קל הד'; פהמ"ש שם; ר"ש שם: כד של חרס, וכעי"ז באגודה שם, ועי' תוי"ט שם ומסכנות נפתלי שם; רא"ש שם; רע"ב שם. ועי' תוי"ט שם, בשם הראב"ד.</w:t>
      </w:r>
    </w:p>
  </w:footnote>
  <w:footnote w:id="1463">
    <w:p w14:paraId="730E7C9F"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1463</w:t>
      </w:r>
      <w:r>
        <w:rPr>
          <w:rFonts w:ascii="David" w:hAnsi="David" w:cs="David"/>
          <w:sz w:val="24"/>
          <w:szCs w:val="24"/>
          <w:rtl/>
        </w:rPr>
        <w:t xml:space="preserve"> </w:t>
      </w:r>
      <w:r>
        <w:rPr>
          <w:rFonts w:ascii="David" w:hAnsi="David" w:cs="David"/>
          <w:color w:val="000000"/>
          <w:sz w:val="18"/>
          <w:szCs w:val="18"/>
          <w:rtl/>
        </w:rPr>
        <w:t>. פהמ"ש שם, ועי' ר"ש ורא"ש ואגודה ורע"ב שם, בפי' הא', לשיטתם בציון 1460, שהיה לוקח מהאפר שנפל על השוורים, ועי' מלאכת שלמה שם, שנוטל מהאפר שקלט המקל, ותפא"י שם אות כט, שנוטל מהאפר שבקמטי החבל.</w:t>
      </w:r>
    </w:p>
  </w:footnote>
  <w:footnote w:id="1464">
    <w:p w14:paraId="0DCFE7C3"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1464</w:t>
      </w:r>
      <w:r>
        <w:rPr>
          <w:rFonts w:ascii="David" w:hAnsi="David" w:cs="David"/>
          <w:sz w:val="24"/>
          <w:szCs w:val="24"/>
          <w:rtl/>
        </w:rPr>
        <w:t xml:space="preserve"> </w:t>
      </w:r>
      <w:r>
        <w:rPr>
          <w:rFonts w:ascii="David" w:hAnsi="David" w:cs="David"/>
          <w:color w:val="000000"/>
          <w:sz w:val="18"/>
          <w:szCs w:val="18"/>
          <w:rtl/>
        </w:rPr>
        <w:t>. משנה שם. ועי' ערוך ע' סבך הג', ותוי"ט ומלאכ"ש שם, שפי' שקושר מקל או מסבך.</w:t>
      </w:r>
    </w:p>
  </w:footnote>
  <w:footnote w:id="1465">
    <w:p w14:paraId="7BFACB06"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1465</w:t>
      </w:r>
      <w:r>
        <w:rPr>
          <w:rFonts w:ascii="David" w:hAnsi="David" w:cs="David"/>
          <w:sz w:val="24"/>
          <w:szCs w:val="24"/>
          <w:rtl/>
        </w:rPr>
        <w:t xml:space="preserve"> </w:t>
      </w:r>
      <w:r>
        <w:rPr>
          <w:rFonts w:ascii="David" w:hAnsi="David" w:cs="David"/>
          <w:color w:val="000000"/>
          <w:sz w:val="18"/>
          <w:szCs w:val="18"/>
          <w:rtl/>
        </w:rPr>
        <w:t>. עי' פהמ"ש שם, שלא יטמא שאר האפר; ר"ש ורע"ב שם בפי' הב', שלא יטמא אף האפר שמקדש בו, ופי' ע"פ תוספ' שם, שהוצרכו לזה כשעלו מהגולה, (ולכאו' היינו שלכך היו נוהגים כן בכל פעם, אבל בתוי"ט שם מ"ב וג נקט שלא עשו כן אלא כשעלו מהגולה, ועי' ערל"נ סוכה שם שתמה, ועי' ציון 1423, וחזו"א שבציון שם), והיו ודאי טמאים, (וע"ש שלא היו מניחים המקל, משום ספק זיבה, ולכאו' היינו שכיון שהוצרכו לעשות ע"י מקל משום טומאת מת, חששו אף לספק זיבה), ועי' חזו"א פרה סי' ו ס"ק ח, שתמה שהקידוש צריך לעשות ע"י טהורים, ועי' ציון 1422 שי"מ התוספ' בע"א. ועי' ר"ש ורע"ב שם בפי' הא' ורא"ש ואגודה שם, לשיטתם לעיל, שהוא כדי שלא יוציאו התינוקות ידיהם מהשוורים, ומ' שהתינוקות היו מקדשים, ועי' ציון 567 ואילך, שלחכמים הם פסולים, ועי' תוס' שבציון 189, שהקידוש לא היה ע"י התינוקות, ועי' חזו"נ פרה שם, שפי' דבריהם בע"א, ועי' חזו"א שם ס"ק ט, שלדעתם היו מקדשים ע"י תינוקות בני י"ג, ועי' תוי"ט שם מ"ב, ושם שעשו כן להזאה שהיא משום מעלה, עי' ציון 183, ועי' בית דוד ושושנים לדוד ומים טהורים חרד"ן ורש"ש שם, ועי' קר"א סוכה שם, ועי' ציון 1422.</w:t>
      </w:r>
    </w:p>
  </w:footnote>
  <w:footnote w:id="1466">
    <w:p w14:paraId="5F4BA54E"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1466</w:t>
      </w:r>
      <w:r>
        <w:rPr>
          <w:rFonts w:ascii="David" w:hAnsi="David" w:cs="David"/>
          <w:sz w:val="24"/>
          <w:szCs w:val="24"/>
          <w:rtl/>
        </w:rPr>
        <w:t xml:space="preserve"> </w:t>
      </w:r>
      <w:r>
        <w:rPr>
          <w:rFonts w:ascii="David" w:hAnsi="David" w:cs="David"/>
          <w:color w:val="000000"/>
          <w:sz w:val="18"/>
          <w:szCs w:val="18"/>
          <w:rtl/>
        </w:rPr>
        <w:t>. משנה שם. ועי' פהמ"ש שם, שלרדות היינו לשלוט, ועי' ערוך ע' רד הה'.</w:t>
      </w:r>
    </w:p>
  </w:footnote>
  <w:footnote w:id="1467">
    <w:p w14:paraId="7411928D"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1467</w:t>
      </w:r>
      <w:r>
        <w:rPr>
          <w:rFonts w:ascii="David" w:hAnsi="David" w:cs="David"/>
          <w:sz w:val="24"/>
          <w:szCs w:val="24"/>
          <w:rtl/>
        </w:rPr>
        <w:t xml:space="preserve"> </w:t>
      </w:r>
      <w:r>
        <w:rPr>
          <w:rFonts w:ascii="David" w:hAnsi="David" w:cs="David"/>
          <w:color w:val="000000"/>
          <w:sz w:val="18"/>
          <w:szCs w:val="18"/>
          <w:rtl/>
        </w:rPr>
        <w:t>. משנה שם. ועי' רע"ב שם, שהוא משום שלדעתו אף כשעלו מהגולה, היו בהם טהורים, שהיה להם מי חטאת בגלות, ולא גזרו על ארץ העמים עד שעלו מהגולה, ועי' ציון 1422. ועי' חזו"נ שם, שנ' שאף לפ"ז היו מביאים מקל וכו'.</w:t>
      </w:r>
    </w:p>
  </w:footnote>
  <w:footnote w:id="1468">
    <w:p w14:paraId="613016AB" w14:textId="77777777" w:rsidR="003931E3" w:rsidRDefault="003931E3" w:rsidP="003931E3">
      <w:pPr>
        <w:autoSpaceDE w:val="0"/>
        <w:autoSpaceDN w:val="0"/>
        <w:adjustRightInd w:val="0"/>
        <w:spacing w:line="240" w:lineRule="auto"/>
        <w:jc w:val="left"/>
        <w:rPr>
          <w:rFonts w:ascii="David" w:hAnsi="David" w:cs="David"/>
          <w:sz w:val="24"/>
          <w:szCs w:val="24"/>
          <w:rtl/>
        </w:rPr>
      </w:pPr>
      <w:r>
        <w:rPr>
          <w:rFonts w:ascii="David" w:hAnsi="David" w:cs="David"/>
          <w:sz w:val="24"/>
          <w:szCs w:val="24"/>
          <w:vertAlign w:val="superscript"/>
          <w:rtl/>
        </w:rPr>
        <w:t>1468</w:t>
      </w:r>
      <w:r>
        <w:rPr>
          <w:rFonts w:ascii="David" w:hAnsi="David" w:cs="David"/>
          <w:sz w:val="24"/>
          <w:szCs w:val="24"/>
          <w:rtl/>
        </w:rPr>
        <w:t xml:space="preserve"> </w:t>
      </w:r>
      <w:r>
        <w:rPr>
          <w:rFonts w:ascii="David" w:hAnsi="David" w:cs="David"/>
          <w:color w:val="000000"/>
          <w:sz w:val="18"/>
          <w:szCs w:val="18"/>
          <w:rtl/>
        </w:rPr>
        <w:t>. פהמ"ש ורמב"ם שם; סמ"ג שם; עי' מאירי סוכה שם; רע"ב פרה שם. ועי' אגודה שם, שלא נ' כן.</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gutterAtTop/>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E3"/>
    <w:rsid w:val="0023018C"/>
    <w:rsid w:val="002A2E67"/>
    <w:rsid w:val="00310DBE"/>
    <w:rsid w:val="003931E3"/>
    <w:rsid w:val="004C7771"/>
    <w:rsid w:val="007B5DB8"/>
    <w:rsid w:val="00FC07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250A"/>
  <w15:chartTrackingRefBased/>
  <w15:docId w15:val="{1756E500-4AC2-431A-A712-2D335394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autoRedefine/>
    <w:uiPriority w:val="9"/>
    <w:unhideWhenUsed/>
    <w:qFormat/>
    <w:rsid w:val="0023018C"/>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23018C"/>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19481</Words>
  <Characters>97405</Characters>
  <Application>Microsoft Office Word</Application>
  <DocSecurity>0</DocSecurity>
  <Lines>811</Lines>
  <Paragraphs>233</Paragraphs>
  <ScaleCrop>false</ScaleCrop>
  <Company/>
  <LinksUpToDate>false</LinksUpToDate>
  <CharactersWithSpaces>116653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יוחנן</dc:creator>
  <cp:keywords/>
  <dc:description/>
  <cp:lastModifiedBy>יוחנן</cp:lastModifiedBy>
  <cp:revision>1</cp:revision>
  <dcterms:created xsi:type="dcterms:W3CDTF">2023-01-03T00:50:00Z</dcterms:created>
  <dcterms:modified xsi:type="dcterms:W3CDTF">2023-01-03T00:51:00Z</dcterms:modified>
</cp:coreProperties>
</file>