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tl/>
        </w:rPr>
      </w:pPr>
      <w:r>
        <w:rPr>
          <w:rFonts w:hint="cs"/>
          <w:rtl/>
        </w:rPr>
        <w:t xml:space="preserve">בשבוע זו אנו </w:t>
      </w:r>
      <w:r>
        <w:rPr>
          <w:rFonts w:hint="cs"/>
          <w:rtl/>
        </w:rPr>
        <w:t xml:space="preserve">קוראים </w:t>
      </w:r>
      <w:r>
        <w:rPr>
          <w:rFonts w:hint="cs"/>
          <w:rtl/>
        </w:rPr>
        <w:t xml:space="preserve">בתורה את כל סדר ההשתלשלות של קבלת התורה, מתחילת הפסוק </w:t>
      </w:r>
      <w:r>
        <w:rPr>
          <w:rtl/>
        </w:rPr>
        <w:t>בַּחֹדֶשׁ הַשְּׁלִישִׁי לְצֵאת בְּנֵי יִשְֹרָאֵל מֵאֶרֶץ מִצְרָיִם בַּיּוֹם הַזֶּה בָּאוּ מִדְבַּר סִינָי:</w:t>
      </w:r>
      <w:r>
        <w:rPr>
          <w:rFonts w:hint="cs"/>
          <w:rtl/>
        </w:rPr>
        <w:t xml:space="preserve"> עד למעמד הגדול והנורא בשעה שארעא </w:t>
      </w:r>
      <w:proofErr w:type="spellStart"/>
      <w:r>
        <w:rPr>
          <w:rFonts w:hint="cs"/>
          <w:rtl/>
        </w:rPr>
        <w:t>ורקיעא</w:t>
      </w:r>
      <w:proofErr w:type="spellEnd"/>
      <w:r>
        <w:rPr>
          <w:rFonts w:hint="cs"/>
          <w:rtl/>
        </w:rPr>
        <w:t xml:space="preserve"> נשקו הדדי, </w:t>
      </w:r>
      <w:r>
        <w:rPr>
          <w:rtl/>
        </w:rPr>
        <w:t xml:space="preserve">הָרִים נָזְלוּ מִפְּנֵי </w:t>
      </w:r>
      <w:r>
        <w:rPr>
          <w:rFonts w:hint="cs"/>
          <w:rtl/>
        </w:rPr>
        <w:t>ה'</w:t>
      </w:r>
      <w:r>
        <w:rPr>
          <w:rtl/>
        </w:rPr>
        <w:t xml:space="preserve"> זֶה סִינַי מִפְּנֵי </w:t>
      </w:r>
      <w:r>
        <w:rPr>
          <w:rFonts w:hint="cs"/>
          <w:rtl/>
        </w:rPr>
        <w:t>ה</w:t>
      </w:r>
      <w:r>
        <w:rPr>
          <w:rtl/>
        </w:rPr>
        <w:t xml:space="preserve">' </w:t>
      </w:r>
      <w:proofErr w:type="spellStart"/>
      <w:r>
        <w:rPr>
          <w:rtl/>
        </w:rPr>
        <w:t>אֱלֹהֵי</w:t>
      </w:r>
      <w:proofErr w:type="spellEnd"/>
      <w:r>
        <w:rPr>
          <w:rtl/>
        </w:rPr>
        <w:t xml:space="preserve"> יִשְֹרָאֵל</w:t>
      </w:r>
      <w:r>
        <w:rPr>
          <w:rFonts w:hint="cs"/>
          <w:rtl/>
        </w:rPr>
        <w:t>, ובעת ובעונה הזאת מזכיר לנו רש"י הקדוש בריש פרשת קבלת התורה "</w:t>
      </w:r>
      <w:proofErr w:type="spellStart"/>
      <w:r>
        <w:rPr>
          <w:rFonts w:hint="cs"/>
          <w:rtl/>
        </w:rPr>
        <w:t>ויסעו</w:t>
      </w:r>
      <w:proofErr w:type="spellEnd"/>
      <w:r>
        <w:rPr>
          <w:rFonts w:hint="cs"/>
          <w:rtl/>
        </w:rPr>
        <w:t xml:space="preserve"> מרפידים.</w:t>
      </w:r>
      <w:r>
        <w:rPr>
          <w:rtl/>
        </w:rPr>
        <w:t xml:space="preserve"> למה הוצרך לחזור ולפרש מהיכן נסעו, והלא כבר כתב שברפידים היו חונים, בידוע שמשם נסעו, אלא להקיש נסיעתן מרפידים לביאתן למדבר סיני, מה ביאתן למדבר סיני בתשובה,  אף נסיעתן מרפידים בתשובה</w:t>
      </w:r>
      <w:r>
        <w:rPr>
          <w:rFonts w:hint="cs"/>
          <w:rtl/>
        </w:rPr>
        <w:t>".</w:t>
      </w:r>
    </w:p>
    <w:p>
      <w:pPr>
        <w:rPr>
          <w:rtl/>
        </w:rPr>
      </w:pPr>
      <w:proofErr w:type="spellStart"/>
      <w:r>
        <w:rPr>
          <w:rFonts w:hint="cs"/>
          <w:rtl/>
        </w:rPr>
        <w:t>ומצינו</w:t>
      </w:r>
      <w:proofErr w:type="spellEnd"/>
      <w:r>
        <w:rPr>
          <w:rFonts w:hint="cs"/>
          <w:rtl/>
        </w:rPr>
        <w:t xml:space="preserve"> בספרי מאורי החסידות (ייטב פנים מאמר שובו בנים, תורת אמת ט"ו בשבט, אמרי נועם ט"ו בשבט, ועוד) לבאר למה נסמכה חמשה עשר בשבט שלשים יום לפני ימי הפורים האלה, והסיבה הנודעת היא, שבימי הפורים רצה המן מזרע עמלק לעקור את ישראל, ובא לעולל עלילה מתחילה כשהכשיל את ישראל בסעודת אותו רשע 'המלך </w:t>
      </w:r>
      <w:proofErr w:type="spellStart"/>
      <w:r>
        <w:rPr>
          <w:rFonts w:hint="cs"/>
          <w:rtl/>
        </w:rPr>
        <w:t>אחשורוש</w:t>
      </w:r>
      <w:proofErr w:type="spellEnd"/>
      <w:r>
        <w:rPr>
          <w:rFonts w:hint="cs"/>
          <w:rtl/>
        </w:rPr>
        <w:t xml:space="preserve">', והשקה אותם ביין נסיכם, וטומטם את לבבם, לפגום את מוח הדעת של כלל ישראל, כדי שלא יכלו להבדיל בדעתם בין טוב לרע, וכך לנתק את כנסת ישראל מאביהם שבשמים. וגם בזאת </w:t>
      </w:r>
      <w:proofErr w:type="spellStart"/>
      <w:r>
        <w:rPr>
          <w:rFonts w:hint="cs"/>
          <w:rtl/>
        </w:rPr>
        <w:t>הכונה</w:t>
      </w:r>
      <w:proofErr w:type="spellEnd"/>
      <w:r>
        <w:rPr>
          <w:rFonts w:hint="cs"/>
          <w:rtl/>
        </w:rPr>
        <w:t xml:space="preserve"> בא הנחש לחוה, להכשילה באכילת פרי עץ הדעת, לנתק את הפרי מן העץ, וכך לנתק אותה ואת בניה אחריה מן העץ החיים הקב"ה, ועל כן שלשים יום לפני מלוך מלך בבני ישראל, בימי הפורים, שבהם אנו מקיימים מצות מחיית עמלק, אנו מברכים על פירות האילן, להכיר טובה ולהודות למי שברא פירות אלו ובכך לדבק הפרי ליוצרה, ובכך אנו זוכים להידבק בחי החיים ועל ידי זה לתקן את חטא עץ הדעת, ואת החטא שחטאנו בעת שאכלנו מסעודת </w:t>
      </w:r>
      <w:proofErr w:type="spellStart"/>
      <w:r>
        <w:rPr>
          <w:rFonts w:hint="cs"/>
          <w:rtl/>
        </w:rPr>
        <w:t>אחשורוש</w:t>
      </w:r>
      <w:proofErr w:type="spellEnd"/>
      <w:r>
        <w:rPr>
          <w:rFonts w:hint="cs"/>
          <w:rtl/>
        </w:rPr>
        <w:t>.</w:t>
      </w:r>
    </w:p>
    <w:p>
      <w:pPr>
        <w:rPr>
          <w:rFonts w:hint="cs"/>
          <w:rtl/>
        </w:rPr>
      </w:pPr>
      <w:r>
        <w:rPr>
          <w:rFonts w:hint="cs"/>
          <w:rtl/>
        </w:rPr>
        <w:t>וזו היא המלחמה בעמלק מדור דור כנאמר "</w:t>
      </w:r>
      <w:r>
        <w:rPr>
          <w:rtl/>
        </w:rPr>
        <w:t>וְהָיָה כַּאֲשֶׁר יָרִים משֶׁה יָדוֹ</w:t>
      </w:r>
      <w:r>
        <w:rPr>
          <w:rFonts w:hint="cs"/>
          <w:rtl/>
        </w:rPr>
        <w:t>" וישראל הסתכלו כלפי מעלה</w:t>
      </w:r>
      <w:r>
        <w:rPr>
          <w:rtl/>
        </w:rPr>
        <w:t xml:space="preserve"> </w:t>
      </w:r>
      <w:r>
        <w:rPr>
          <w:rFonts w:hint="cs"/>
          <w:rtl/>
        </w:rPr>
        <w:t>"</w:t>
      </w:r>
      <w:r>
        <w:rPr>
          <w:rtl/>
        </w:rPr>
        <w:t>וְגָבַר יִשְֹרָאֵל</w:t>
      </w:r>
      <w:r>
        <w:rPr>
          <w:rFonts w:hint="cs"/>
          <w:rtl/>
        </w:rPr>
        <w:t xml:space="preserve">", לדבק נפשנו ורוחנו ומוחנו לדעת את ה' בכל לבב, ולא לנתק חס ושלום את רוחנו </w:t>
      </w:r>
      <w:proofErr w:type="spellStart"/>
      <w:r>
        <w:rPr>
          <w:rFonts w:hint="cs"/>
          <w:rtl/>
        </w:rPr>
        <w:t>מלעבדו</w:t>
      </w:r>
      <w:proofErr w:type="spellEnd"/>
      <w:r>
        <w:rPr>
          <w:rFonts w:hint="cs"/>
          <w:rtl/>
        </w:rPr>
        <w:t xml:space="preserve"> באמת. ולהיפך מזה, לקיים מה שנאמר "</w:t>
      </w:r>
      <w:proofErr w:type="spellStart"/>
      <w:r>
        <w:rPr>
          <w:rtl/>
        </w:rPr>
        <w:t>קִיְּמו</w:t>
      </w:r>
      <w:proofErr w:type="spellEnd"/>
      <w:r>
        <w:rPr>
          <w:rtl/>
        </w:rPr>
        <w:t>ּ וְקִבְּלוּ הַיְּהוּדִים עֲלֵיהֶם וְעַל זַרְעָם</w:t>
      </w:r>
      <w:r>
        <w:rPr>
          <w:rFonts w:hint="cs"/>
          <w:rtl/>
        </w:rPr>
        <w:t xml:space="preserve">", לקיים באהבה מה שקבלו כבר בקבלת התורה, וזה יהיה לנו הכנה </w:t>
      </w:r>
      <w:proofErr w:type="spellStart"/>
      <w:r>
        <w:rPr>
          <w:rFonts w:hint="cs"/>
          <w:rtl/>
        </w:rPr>
        <w:t>דרבה</w:t>
      </w:r>
      <w:proofErr w:type="spellEnd"/>
      <w:r>
        <w:rPr>
          <w:rFonts w:hint="cs"/>
          <w:rtl/>
        </w:rPr>
        <w:t xml:space="preserve"> לימי הפורים האלה "</w:t>
      </w:r>
      <w:r>
        <w:rPr>
          <w:rtl/>
        </w:rPr>
        <w:t>וְלֹא יַעֲבוֹר</w:t>
      </w:r>
      <w:r>
        <w:rPr>
          <w:rFonts w:hint="cs"/>
          <w:rtl/>
        </w:rPr>
        <w:t>" לעולמי עולמים.</w:t>
      </w:r>
    </w:p>
    <w:p>
      <w:pPr>
        <w:rPr>
          <w:rtl/>
        </w:rPr>
      </w:pPr>
      <w:r>
        <w:rPr>
          <w:rFonts w:hint="cs"/>
          <w:rtl/>
        </w:rPr>
        <w:t>ועל כן בעת ובעונה הזאת שכבר עלו שרף באילנות, שמורה על אהבת ה' כרשפי אש שלהבת י-ה, שעולה בכל לב יהודי, לא נשאר לנו רק לאחוז בזנבו של אותו נחש, ולשרש אחריו, להלהיב את לבנו במה שהנחילו לנו רבותינו מאורי החסידות באש שחורה על גבי אש לבנה, ולהכין את עצמינו בדבריהם הקדושים מפיהם ומפי כתבם, ולידע את ה' לעבדו באהבה רבה, ולקבל עלינו עול תורה, ובזה נוכל לבא אל המלך בימי הפורים בלבוש תכלת "</w:t>
      </w:r>
      <w:r>
        <w:rPr>
          <w:rtl/>
        </w:rPr>
        <w:t>לְקַיֵּם עֲלֵיהֶם לִהְיוֹת עֹשִׂים אֵת יוֹם אַרְבָּעָה עָשָׂר לְחֹדֶשׁ אֲדָר וְאֵת יוֹם חֲמִשָּׁה עָשָׂר בּוֹ בְּכָל שָׁנָה וְשָׁנָה</w:t>
      </w:r>
      <w:r>
        <w:rPr>
          <w:rFonts w:hint="cs"/>
          <w:rtl/>
        </w:rPr>
        <w:t xml:space="preserve">. </w:t>
      </w:r>
      <w:r>
        <w:rPr>
          <w:rtl/>
        </w:rPr>
        <w:t xml:space="preserve">כַּיָּמִים אֲשֶׁר נָחוּ בָהֶם הַיְּהוּדִים </w:t>
      </w:r>
      <w:proofErr w:type="spellStart"/>
      <w:r>
        <w:rPr>
          <w:rtl/>
        </w:rPr>
        <w:t>מֵאֹיְבֵיהֶם</w:t>
      </w:r>
      <w:proofErr w:type="spellEnd"/>
      <w:r>
        <w:rPr>
          <w:rtl/>
        </w:rPr>
        <w:t xml:space="preserve"> וְהַחֹדֶשׁ אֲשֶׁר נֶהְפַּךְ לָהֶם מִיָּגוֹן לְשִׂמְחָה וּמֵאֵבֶל לְיוֹם טוֹב </w:t>
      </w:r>
      <w:r>
        <w:rPr>
          <w:rFonts w:hint="cs"/>
          <w:rtl/>
        </w:rPr>
        <w:t xml:space="preserve">וגו' </w:t>
      </w:r>
      <w:r>
        <w:rPr>
          <w:rtl/>
        </w:rPr>
        <w:t>וְקִבֵּל הַיְּהוּדִים אֵת אֲשֶׁר הֵחֵלּוּ לַעֲשׂוֹת וְאֵת אֲשֶׁר כָּתַב מָרְדֳּכַי אֲלֵיהֶם</w:t>
      </w:r>
      <w:r>
        <w:rPr>
          <w:rFonts w:hint="cs"/>
          <w:rtl/>
        </w:rPr>
        <w:t>", אמן ואמן.</w:t>
      </w:r>
      <w:bookmarkStart w:id="0" w:name="_GoBack"/>
      <w:bookmarkEnd w:id="0"/>
    </w:p>
    <w:p>
      <w:pPr>
        <w:rPr>
          <w:rFonts w:cs="Guttman Vilna"/>
        </w:rPr>
      </w:pPr>
      <w:r>
        <w:rPr>
          <w:rFonts w:hint="cs"/>
          <w:rtl/>
        </w:rPr>
        <w:lastRenderedPageBreak/>
        <w:t>בברכת שבת שלום ומבורך המערכת</w:t>
      </w:r>
    </w:p>
    <w:sectPr>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Livorna">
    <w:panose1 w:val="00000000000000000000"/>
    <w:charset w:val="B1"/>
    <w:family w:val="auto"/>
    <w:pitch w:val="variable"/>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uttman Vilna">
    <w:panose1 w:val="02010401010101010101"/>
    <w:charset w:val="B1"/>
    <w:family w:val="auto"/>
    <w:pitch w:val="variable"/>
    <w:sig w:usb0="00000801" w:usb1="40000000" w:usb2="00000000" w:usb3="00000000" w:csb0="00000020"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243422-FE1F-474D-AD9A-2D7779DFA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David" w:eastAsiaTheme="minorHAnsi" w:hAnsi="David"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spacing w:after="160" w:line="360" w:lineRule="auto"/>
      <w:ind w:firstLine="454"/>
      <w:jc w:val="both"/>
    </w:pPr>
    <w:rPr>
      <w:rFonts w:asciiTheme="minorHAnsi" w:hAnsiTheme="minorHAnsi" w:cs="Livorna"/>
      <w:sz w:val="28"/>
      <w:szCs w:val="28"/>
    </w:rPr>
  </w:style>
  <w:style w:type="paragraph" w:styleId="1">
    <w:name w:val="heading 1"/>
    <w:basedOn w:val="a"/>
    <w:next w:val="a"/>
    <w:link w:val="10"/>
    <w:uiPriority w:val="9"/>
    <w:unhideWhenUsed/>
    <w:qFormat/>
    <w:pPr>
      <w:keepNext/>
      <w:keepLines/>
      <w:spacing w:before="360" w:after="120"/>
      <w:jc w:val="center"/>
      <w:outlineLvl w:val="0"/>
    </w:pPr>
    <w:rPr>
      <w:rFonts w:asciiTheme="majorHAnsi" w:eastAsiaTheme="majorEastAsia" w:hAnsiTheme="majorHAnsi"/>
      <w:bCs/>
      <w:sz w:val="32"/>
      <w:szCs w:val="32"/>
    </w:rPr>
  </w:style>
  <w:style w:type="paragraph" w:styleId="2">
    <w:name w:val="heading 2"/>
    <w:basedOn w:val="a"/>
    <w:next w:val="a"/>
    <w:link w:val="20"/>
    <w:uiPriority w:val="9"/>
    <w:unhideWhenUsed/>
    <w:qFormat/>
    <w:pPr>
      <w:keepNext/>
      <w:keepLines/>
      <w:spacing w:before="40"/>
      <w:jc w:val="center"/>
      <w:outlineLvl w:val="1"/>
    </w:pPr>
    <w:rPr>
      <w:rFonts w:asciiTheme="majorHAnsi" w:eastAsiaTheme="majorEastAsia" w:hAnsiTheme="majorHAnsi"/>
      <w:bCs/>
      <w:sz w:val="26"/>
    </w:rPr>
  </w:style>
  <w:style w:type="paragraph" w:styleId="3">
    <w:name w:val="heading 3"/>
    <w:basedOn w:val="a"/>
    <w:next w:val="a"/>
    <w:link w:val="30"/>
    <w:uiPriority w:val="9"/>
    <w:unhideWhenUsed/>
    <w:qFormat/>
    <w:pPr>
      <w:keepNext/>
      <w:keepLines/>
      <w:spacing w:before="40"/>
      <w:jc w:val="center"/>
      <w:outlineLvl w:val="2"/>
    </w:pPr>
    <w:rPr>
      <w:rFonts w:eastAsiaTheme="majorEastAsia"/>
      <w:b/>
      <w:bCs/>
    </w:rPr>
  </w:style>
  <w:style w:type="paragraph" w:styleId="4">
    <w:name w:val="heading 4"/>
    <w:basedOn w:val="a"/>
    <w:next w:val="a"/>
    <w:link w:val="40"/>
    <w:semiHidden/>
    <w:qFormat/>
    <w:pPr>
      <w:keepNext/>
      <w:keepLines/>
      <w:spacing w:before="40"/>
      <w:outlineLvl w:val="3"/>
    </w:pPr>
    <w:rPr>
      <w:rFonts w:ascii="Cambria" w:eastAsia="Times New Roman" w:hAnsi="Cambria" w:cs="Times New Roman"/>
      <w:i/>
      <w:iCs/>
      <w:color w:val="365F91"/>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Pr>
      <w:rFonts w:asciiTheme="majorHAnsi" w:eastAsiaTheme="majorEastAsia" w:hAnsiTheme="majorHAnsi" w:cs="Livorna"/>
      <w:bCs/>
      <w:sz w:val="32"/>
      <w:szCs w:val="32"/>
    </w:rPr>
  </w:style>
  <w:style w:type="character" w:customStyle="1" w:styleId="20">
    <w:name w:val="כותרת 2 תו"/>
    <w:basedOn w:val="a0"/>
    <w:link w:val="2"/>
    <w:uiPriority w:val="9"/>
    <w:rPr>
      <w:rFonts w:asciiTheme="majorHAnsi" w:eastAsiaTheme="majorEastAsia" w:hAnsiTheme="majorHAnsi" w:cs="Livorna"/>
      <w:bCs/>
      <w:sz w:val="26"/>
      <w:szCs w:val="28"/>
    </w:rPr>
  </w:style>
  <w:style w:type="character" w:customStyle="1" w:styleId="30">
    <w:name w:val="כותרת 3 תו"/>
    <w:basedOn w:val="a0"/>
    <w:link w:val="3"/>
    <w:uiPriority w:val="9"/>
    <w:rPr>
      <w:rFonts w:asciiTheme="minorHAnsi" w:eastAsiaTheme="majorEastAsia" w:hAnsiTheme="minorHAnsi" w:cs="Livorna"/>
      <w:b/>
      <w:bCs/>
      <w:sz w:val="28"/>
      <w:szCs w:val="28"/>
    </w:rPr>
  </w:style>
  <w:style w:type="character" w:customStyle="1" w:styleId="40">
    <w:name w:val="כותרת 4 תו"/>
    <w:basedOn w:val="a0"/>
    <w:link w:val="4"/>
    <w:semiHidden/>
    <w:rPr>
      <w:rFonts w:ascii="Cambria" w:eastAsia="Times New Roman" w:hAnsi="Cambria" w:cs="Times New Roman"/>
      <w:i/>
      <w:iCs/>
      <w:color w:val="365F91"/>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407316">
      <w:bodyDiv w:val="1"/>
      <w:marLeft w:val="0"/>
      <w:marRight w:val="0"/>
      <w:marTop w:val="0"/>
      <w:marBottom w:val="0"/>
      <w:divBdr>
        <w:top w:val="none" w:sz="0" w:space="0" w:color="auto"/>
        <w:left w:val="none" w:sz="0" w:space="0" w:color="auto"/>
        <w:bottom w:val="none" w:sz="0" w:space="0" w:color="auto"/>
        <w:right w:val="none" w:sz="0" w:space="0" w:color="auto"/>
      </w:divBdr>
      <w:divsChild>
        <w:div w:id="1184857484">
          <w:marLeft w:val="0"/>
          <w:marRight w:val="0"/>
          <w:marTop w:val="0"/>
          <w:marBottom w:val="0"/>
          <w:divBdr>
            <w:top w:val="none" w:sz="0" w:space="0" w:color="auto"/>
            <w:left w:val="none" w:sz="0" w:space="0" w:color="auto"/>
            <w:bottom w:val="none" w:sz="0" w:space="0" w:color="auto"/>
            <w:right w:val="none" w:sz="0" w:space="0" w:color="auto"/>
          </w:divBdr>
        </w:div>
        <w:div w:id="3291497">
          <w:marLeft w:val="0"/>
          <w:marRight w:val="0"/>
          <w:marTop w:val="0"/>
          <w:marBottom w:val="0"/>
          <w:divBdr>
            <w:top w:val="none" w:sz="0" w:space="0" w:color="auto"/>
            <w:left w:val="none" w:sz="0" w:space="0" w:color="auto"/>
            <w:bottom w:val="none" w:sz="0" w:space="0" w:color="auto"/>
            <w:right w:val="none" w:sz="0" w:space="0" w:color="auto"/>
          </w:divBdr>
        </w:div>
        <w:div w:id="2070301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2</Pages>
  <Words>434</Words>
  <Characters>2173</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זאב פאנעט</dc:creator>
  <cp:keywords/>
  <dc:description/>
  <cp:lastModifiedBy>User</cp:lastModifiedBy>
  <cp:revision>3</cp:revision>
  <dcterms:created xsi:type="dcterms:W3CDTF">2023-02-07T19:00:00Z</dcterms:created>
  <dcterms:modified xsi:type="dcterms:W3CDTF">2023-02-08T08:00:00Z</dcterms:modified>
</cp:coreProperties>
</file>