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8FD9E" w14:textId="572E24FC" w:rsidR="00CA7E12" w:rsidRPr="00E14307" w:rsidRDefault="00E14307" w:rsidP="00E14307">
      <w:pPr>
        <w:ind w:hanging="908"/>
        <w:rPr>
          <w:rFonts w:ascii="Calibri" w:eastAsia="Calibri" w:hAnsi="Calibri" w:cs="David"/>
          <w:sz w:val="30"/>
          <w:szCs w:val="30"/>
          <w:rtl/>
        </w:rPr>
      </w:pPr>
      <w:r w:rsidRPr="00E14307">
        <w:rPr>
          <w:rFonts w:ascii="Calibri" w:eastAsia="Calibri" w:hAnsi="Calibri" w:cs="David" w:hint="cs"/>
          <w:sz w:val="30"/>
          <w:szCs w:val="30"/>
          <w:rtl/>
        </w:rPr>
        <w:t>בס"ד</w:t>
      </w:r>
    </w:p>
    <w:p w14:paraId="527C656F" w14:textId="4758406E" w:rsidR="00E14307" w:rsidRDefault="00E14307" w:rsidP="00E14307">
      <w:pPr>
        <w:keepNext/>
        <w:keepLines/>
        <w:widowControl w:val="0"/>
        <w:shd w:val="clear" w:color="auto" w:fill="D9D9D9" w:themeFill="background1" w:themeFillShade="D9"/>
        <w:spacing w:before="40" w:after="0" w:line="360" w:lineRule="auto"/>
        <w:jc w:val="center"/>
        <w:outlineLvl w:val="1"/>
        <w:rPr>
          <w:rFonts w:asciiTheme="majorHAnsi" w:eastAsia="Calibri" w:hAnsiTheme="majorHAnsi" w:cs="Guttman Vilna"/>
          <w:bCs/>
          <w:color w:val="404040" w:themeColor="text1" w:themeTint="BF"/>
          <w:w w:val="90"/>
          <w:sz w:val="26"/>
          <w:szCs w:val="36"/>
        </w:rPr>
      </w:pPr>
      <w:proofErr w:type="spellStart"/>
      <w:r w:rsidRPr="00E14307">
        <w:rPr>
          <w:rFonts w:asciiTheme="majorHAnsi" w:eastAsia="Calibri" w:hAnsiTheme="majorHAnsi" w:cs="Guttman Vilna"/>
          <w:bCs/>
          <w:color w:val="404040" w:themeColor="text1" w:themeTint="BF"/>
          <w:w w:val="90"/>
          <w:sz w:val="26"/>
          <w:szCs w:val="36"/>
          <w:rtl/>
        </w:rPr>
        <w:t>והוי</w:t>
      </w:r>
      <w:proofErr w:type="spellEnd"/>
      <w:r w:rsidRPr="00E14307">
        <w:rPr>
          <w:rFonts w:asciiTheme="majorHAnsi" w:eastAsia="Calibri" w:hAnsiTheme="majorHAnsi" w:cs="Guttman Vilna"/>
          <w:bCs/>
          <w:color w:val="404040" w:themeColor="text1" w:themeTint="BF"/>
          <w:w w:val="90"/>
          <w:sz w:val="26"/>
          <w:szCs w:val="36"/>
          <w:rtl/>
        </w:rPr>
        <w:t xml:space="preserve"> דן את כל האדם לכף זכות</w:t>
      </w:r>
    </w:p>
    <w:p w14:paraId="094C4691" w14:textId="05CB234F" w:rsidR="00E14307" w:rsidRDefault="00E14307" w:rsidP="00E14307">
      <w:pPr>
        <w:keepNext/>
        <w:keepLines/>
        <w:widowControl w:val="0"/>
        <w:spacing w:before="240" w:after="40" w:line="240" w:lineRule="auto"/>
        <w:ind w:left="-284"/>
        <w:jc w:val="center"/>
        <w:outlineLvl w:val="4"/>
        <w:rPr>
          <w:rFonts w:eastAsia="Calibri" w:cstheme="majorBidi" w:hint="cs"/>
          <w:bCs/>
          <w:color w:val="5A5A5A" w:themeColor="text1" w:themeTint="A5"/>
          <w:szCs w:val="26"/>
          <w:rtl/>
        </w:rPr>
      </w:pPr>
      <w:r>
        <w:rPr>
          <w:rFonts w:eastAsia="Calibri" w:cstheme="majorBidi"/>
          <w:bCs/>
          <w:color w:val="5A5A5A" w:themeColor="text1" w:themeTint="A5"/>
          <w:szCs w:val="26"/>
          <w:rtl/>
        </w:rPr>
        <w:t xml:space="preserve">משנה </w:t>
      </w:r>
      <w:r>
        <w:rPr>
          <w:rFonts w:eastAsia="Calibri" w:cstheme="majorBidi" w:hint="cs"/>
          <w:bCs/>
          <w:color w:val="5A5A5A" w:themeColor="text1" w:themeTint="A5"/>
          <w:szCs w:val="26"/>
          <w:rtl/>
        </w:rPr>
        <w:t>ו</w:t>
      </w:r>
    </w:p>
    <w:p w14:paraId="04C7CF18" w14:textId="520D7B01" w:rsidR="00E14307" w:rsidRDefault="00E14307" w:rsidP="00E14307">
      <w:pPr>
        <w:keepNext/>
        <w:keepLines/>
        <w:widowControl w:val="0"/>
        <w:spacing w:before="240" w:after="40" w:line="360" w:lineRule="auto"/>
        <w:ind w:left="-284"/>
        <w:jc w:val="both"/>
        <w:outlineLvl w:val="4"/>
        <w:rPr>
          <w:rFonts w:eastAsia="Calibri" w:cstheme="majorBidi"/>
          <w:bCs/>
          <w:color w:val="5A5A5A" w:themeColor="text1" w:themeTint="A5"/>
          <w:szCs w:val="26"/>
          <w:rtl/>
        </w:rPr>
      </w:pPr>
      <w:r w:rsidRPr="00E14307">
        <w:rPr>
          <w:rFonts w:ascii="Calibri" w:eastAsia="Calibri" w:hAnsi="Calibri" w:cs="David"/>
          <w:sz w:val="30"/>
          <w:szCs w:val="30"/>
          <w:rtl/>
        </w:rPr>
        <w:t xml:space="preserve">יהושע בן פרחיה </w:t>
      </w:r>
      <w:proofErr w:type="spellStart"/>
      <w:r w:rsidRPr="00E14307">
        <w:rPr>
          <w:rFonts w:ascii="Calibri" w:eastAsia="Calibri" w:hAnsi="Calibri" w:cs="David"/>
          <w:sz w:val="30"/>
          <w:szCs w:val="30"/>
          <w:rtl/>
        </w:rPr>
        <w:t>ונתאי</w:t>
      </w:r>
      <w:proofErr w:type="spellEnd"/>
      <w:r w:rsidRPr="00E14307">
        <w:rPr>
          <w:rFonts w:ascii="Calibri" w:eastAsia="Calibri" w:hAnsi="Calibri" w:cs="David"/>
          <w:sz w:val="30"/>
          <w:szCs w:val="30"/>
          <w:rtl/>
        </w:rPr>
        <w:t xml:space="preserve"> </w:t>
      </w:r>
      <w:proofErr w:type="spellStart"/>
      <w:r w:rsidRPr="00E14307">
        <w:rPr>
          <w:rFonts w:ascii="Calibri" w:eastAsia="Calibri" w:hAnsi="Calibri" w:cs="David"/>
          <w:sz w:val="30"/>
          <w:szCs w:val="30"/>
          <w:rtl/>
        </w:rPr>
        <w:t>הארבלי</w:t>
      </w:r>
      <w:proofErr w:type="spellEnd"/>
      <w:r w:rsidRPr="00E14307">
        <w:rPr>
          <w:rFonts w:ascii="Calibri" w:eastAsia="Calibri" w:hAnsi="Calibri" w:cs="David"/>
          <w:sz w:val="30"/>
          <w:szCs w:val="30"/>
          <w:rtl/>
        </w:rPr>
        <w:t xml:space="preserve"> קבלו מהם</w:t>
      </w:r>
      <w:r>
        <w:rPr>
          <w:rFonts w:ascii="Calibri" w:eastAsia="Calibri" w:hAnsi="Calibri" w:cs="David" w:hint="cs"/>
          <w:sz w:val="30"/>
          <w:szCs w:val="30"/>
          <w:rtl/>
        </w:rPr>
        <w:t>.</w:t>
      </w:r>
      <w:r w:rsidRPr="00E14307">
        <w:rPr>
          <w:rFonts w:ascii="Calibri" w:eastAsia="Calibri" w:hAnsi="Calibri" w:cs="David"/>
          <w:sz w:val="30"/>
          <w:szCs w:val="30"/>
          <w:rtl/>
        </w:rPr>
        <w:t xml:space="preserve"> יהושע בן פרחיה אומר</w:t>
      </w:r>
      <w:r>
        <w:rPr>
          <w:rFonts w:ascii="Calibri" w:eastAsia="Calibri" w:hAnsi="Calibri" w:cs="David" w:hint="cs"/>
          <w:sz w:val="30"/>
          <w:szCs w:val="30"/>
          <w:rtl/>
        </w:rPr>
        <w:t>,</w:t>
      </w:r>
      <w:r w:rsidRPr="00E14307">
        <w:rPr>
          <w:rFonts w:ascii="Calibri" w:eastAsia="Calibri" w:hAnsi="Calibri" w:cs="David"/>
          <w:sz w:val="30"/>
          <w:szCs w:val="30"/>
          <w:rtl/>
        </w:rPr>
        <w:t xml:space="preserve"> עשה לך רב וקנה לך חבר </w:t>
      </w:r>
      <w:proofErr w:type="spellStart"/>
      <w:r w:rsidRPr="00E14307">
        <w:rPr>
          <w:rFonts w:ascii="Calibri" w:eastAsia="Calibri" w:hAnsi="Calibri" w:cs="David"/>
          <w:sz w:val="30"/>
          <w:szCs w:val="30"/>
          <w:rtl/>
        </w:rPr>
        <w:t>והוי</w:t>
      </w:r>
      <w:proofErr w:type="spellEnd"/>
      <w:r w:rsidRPr="00E14307">
        <w:rPr>
          <w:rFonts w:ascii="Calibri" w:eastAsia="Calibri" w:hAnsi="Calibri" w:cs="David"/>
          <w:sz w:val="30"/>
          <w:szCs w:val="30"/>
          <w:rtl/>
        </w:rPr>
        <w:t xml:space="preserve"> דן את כל האדם לכף זכות</w:t>
      </w:r>
      <w:r>
        <w:rPr>
          <w:rFonts w:ascii="Calibri" w:eastAsia="Calibri" w:hAnsi="Calibri" w:cs="David" w:hint="cs"/>
          <w:sz w:val="30"/>
          <w:szCs w:val="30"/>
          <w:rtl/>
        </w:rPr>
        <w:t>.</w:t>
      </w:r>
    </w:p>
    <w:p w14:paraId="6B903DC8" w14:textId="5AA2B2FC" w:rsidR="00E14307" w:rsidRDefault="003C6BB9" w:rsidP="00E14307">
      <w:pPr>
        <w:keepNext/>
        <w:keepLines/>
        <w:widowControl w:val="0"/>
        <w:spacing w:before="240" w:after="40" w:line="360" w:lineRule="auto"/>
        <w:ind w:left="-284"/>
        <w:jc w:val="both"/>
        <w:outlineLvl w:val="4"/>
        <w:rPr>
          <w:rFonts w:eastAsia="Calibri" w:cstheme="majorBidi"/>
          <w:bCs/>
          <w:color w:val="5A5A5A" w:themeColor="text1" w:themeTint="A5"/>
          <w:szCs w:val="26"/>
          <w:rtl/>
        </w:rPr>
      </w:pPr>
      <w:r>
        <w:rPr>
          <w:rFonts w:eastAsia="Calibri" w:cstheme="majorBidi" w:hint="cs"/>
          <w:bCs/>
          <w:color w:val="5A5A5A" w:themeColor="text1" w:themeTint="A5"/>
          <w:szCs w:val="26"/>
          <w:rtl/>
        </w:rPr>
        <w:t>מה נקרא</w:t>
      </w:r>
      <w:r w:rsidR="00FD0250">
        <w:rPr>
          <w:rFonts w:eastAsia="Calibri" w:cstheme="majorBidi" w:hint="cs"/>
          <w:bCs/>
          <w:color w:val="5A5A5A" w:themeColor="text1" w:themeTint="A5"/>
          <w:szCs w:val="26"/>
          <w:rtl/>
        </w:rPr>
        <w:t xml:space="preserve"> לדון לכף זכות</w:t>
      </w:r>
    </w:p>
    <w:p w14:paraId="5B4072AE" w14:textId="02E39367" w:rsidR="00E14307" w:rsidRDefault="00E14307" w:rsidP="00E14307">
      <w:pPr>
        <w:spacing w:line="360" w:lineRule="auto"/>
        <w:jc w:val="both"/>
        <w:rPr>
          <w:rFonts w:ascii="Calibri" w:eastAsia="Calibri" w:hAnsi="Calibri" w:cs="David"/>
          <w:sz w:val="30"/>
          <w:szCs w:val="30"/>
          <w:rtl/>
        </w:rPr>
      </w:pPr>
      <w:r>
        <w:rPr>
          <w:rFonts w:ascii="Calibri" w:eastAsia="Calibri" w:hAnsi="Calibri" w:cs="David" w:hint="cs"/>
          <w:sz w:val="30"/>
          <w:szCs w:val="30"/>
          <w:rtl/>
        </w:rPr>
        <w:t>בעניין</w:t>
      </w:r>
      <w:r w:rsidR="00FD0250">
        <w:rPr>
          <w:rFonts w:ascii="Calibri" w:eastAsia="Calibri" w:hAnsi="Calibri" w:cs="David" w:hint="cs"/>
          <w:sz w:val="30"/>
          <w:szCs w:val="30"/>
          <w:rtl/>
        </w:rPr>
        <w:t xml:space="preserve"> המידה שצריך לדון לכף זכות, עלינו להתבונן </w:t>
      </w:r>
      <w:r w:rsidR="003C6BB9">
        <w:rPr>
          <w:rFonts w:ascii="Calibri" w:eastAsia="Calibri" w:hAnsi="Calibri" w:cs="David" w:hint="cs"/>
          <w:sz w:val="30"/>
          <w:szCs w:val="30"/>
          <w:rtl/>
        </w:rPr>
        <w:t>מתי ובאיזה אופן צריך לדון לכף זכות, וכיצד עושים זאת כראוי.</w:t>
      </w:r>
    </w:p>
    <w:p w14:paraId="6F9A78A8" w14:textId="2D056489" w:rsidR="003C6BB9" w:rsidRDefault="003C6BB9" w:rsidP="003C6BB9">
      <w:pPr>
        <w:spacing w:line="360" w:lineRule="auto"/>
        <w:jc w:val="both"/>
        <w:rPr>
          <w:rFonts w:ascii="Calibri" w:eastAsia="Calibri" w:hAnsi="Calibri" w:cs="David"/>
          <w:sz w:val="30"/>
          <w:szCs w:val="30"/>
          <w:rtl/>
        </w:rPr>
      </w:pPr>
      <w:r>
        <w:rPr>
          <w:rFonts w:ascii="Calibri" w:eastAsia="Calibri" w:hAnsi="Calibri" w:cs="David" w:hint="cs"/>
          <w:sz w:val="30"/>
          <w:szCs w:val="30"/>
          <w:rtl/>
        </w:rPr>
        <w:t xml:space="preserve">כאשר נעיין בדברי </w:t>
      </w:r>
      <w:r w:rsidRPr="00DF240A">
        <w:rPr>
          <w:rFonts w:ascii="Calibri" w:eastAsia="Calibri" w:hAnsi="Calibri" w:cs="David" w:hint="cs"/>
          <w:b/>
          <w:bCs/>
          <w:sz w:val="30"/>
          <w:szCs w:val="30"/>
          <w:rtl/>
        </w:rPr>
        <w:t>רש"י</w:t>
      </w:r>
      <w:r>
        <w:rPr>
          <w:rFonts w:ascii="Calibri" w:eastAsia="Calibri" w:hAnsi="Calibri" w:cs="David" w:hint="cs"/>
          <w:sz w:val="30"/>
          <w:szCs w:val="30"/>
          <w:rtl/>
        </w:rPr>
        <w:t xml:space="preserve"> בביאו</w:t>
      </w:r>
      <w:r>
        <w:rPr>
          <w:rFonts w:ascii="Calibri" w:eastAsia="Calibri" w:hAnsi="Calibri" w:cs="David" w:hint="eastAsia"/>
          <w:sz w:val="30"/>
          <w:szCs w:val="30"/>
          <w:rtl/>
        </w:rPr>
        <w:t>ר</w:t>
      </w:r>
      <w:r>
        <w:rPr>
          <w:rFonts w:ascii="Calibri" w:eastAsia="Calibri" w:hAnsi="Calibri" w:cs="David" w:hint="cs"/>
          <w:sz w:val="30"/>
          <w:szCs w:val="30"/>
          <w:rtl/>
        </w:rPr>
        <w:t xml:space="preserve"> המשנה</w:t>
      </w:r>
      <w:r w:rsidR="00DF240A">
        <w:rPr>
          <w:rFonts w:ascii="Calibri" w:eastAsia="Calibri" w:hAnsi="Calibri" w:cs="David" w:hint="cs"/>
          <w:sz w:val="30"/>
          <w:szCs w:val="30"/>
          <w:rtl/>
        </w:rPr>
        <w:t>,</w:t>
      </w:r>
      <w:r>
        <w:rPr>
          <w:rFonts w:ascii="Calibri" w:eastAsia="Calibri" w:hAnsi="Calibri" w:cs="David" w:hint="cs"/>
          <w:sz w:val="30"/>
          <w:szCs w:val="30"/>
          <w:rtl/>
        </w:rPr>
        <w:t xml:space="preserve"> נבין עד היכן מגיעה החובה לדון לכף זכות, שכך הוא כותב, </w:t>
      </w:r>
      <w:r w:rsidRPr="003C6BB9">
        <w:rPr>
          <w:rFonts w:ascii="Calibri" w:eastAsia="Calibri" w:hAnsi="Calibri" w:cs="David" w:hint="cs"/>
          <w:b/>
          <w:bCs/>
          <w:sz w:val="30"/>
          <w:szCs w:val="30"/>
          <w:rtl/>
        </w:rPr>
        <w:t>'</w:t>
      </w:r>
      <w:r w:rsidRPr="003C6BB9">
        <w:rPr>
          <w:rFonts w:ascii="Calibri" w:eastAsia="Calibri" w:hAnsi="Calibri" w:cs="David"/>
          <w:b/>
          <w:bCs/>
          <w:sz w:val="30"/>
          <w:szCs w:val="30"/>
          <w:rtl/>
        </w:rPr>
        <w:t>על כל שתשמע עליו אמור שנתכוון לטובה</w:t>
      </w:r>
      <w:r w:rsidRPr="003C6BB9">
        <w:rPr>
          <w:rFonts w:ascii="Calibri" w:eastAsia="Calibri" w:hAnsi="Calibri" w:cs="David" w:hint="cs"/>
          <w:b/>
          <w:bCs/>
          <w:sz w:val="30"/>
          <w:szCs w:val="30"/>
          <w:rtl/>
        </w:rPr>
        <w:t>,</w:t>
      </w:r>
      <w:r w:rsidRPr="003C6BB9">
        <w:rPr>
          <w:rFonts w:ascii="Calibri" w:eastAsia="Calibri" w:hAnsi="Calibri" w:cs="David"/>
          <w:b/>
          <w:bCs/>
          <w:sz w:val="30"/>
          <w:szCs w:val="30"/>
          <w:rtl/>
        </w:rPr>
        <w:t xml:space="preserve"> עד שתדע בבירור שאינו כן</w:t>
      </w:r>
      <w:r w:rsidRPr="003C6BB9">
        <w:rPr>
          <w:rFonts w:ascii="Calibri" w:eastAsia="Calibri" w:hAnsi="Calibri" w:cs="David" w:hint="cs"/>
          <w:b/>
          <w:bCs/>
          <w:sz w:val="30"/>
          <w:szCs w:val="30"/>
          <w:rtl/>
        </w:rPr>
        <w:t>,</w:t>
      </w:r>
      <w:r w:rsidRPr="003C6BB9">
        <w:rPr>
          <w:rFonts w:ascii="Calibri" w:eastAsia="Calibri" w:hAnsi="Calibri" w:cs="David"/>
          <w:b/>
          <w:bCs/>
          <w:sz w:val="30"/>
          <w:szCs w:val="30"/>
          <w:rtl/>
        </w:rPr>
        <w:t xml:space="preserve"> שאם אתה </w:t>
      </w:r>
      <w:proofErr w:type="spellStart"/>
      <w:r w:rsidRPr="003C6BB9">
        <w:rPr>
          <w:rFonts w:ascii="Calibri" w:eastAsia="Calibri" w:hAnsi="Calibri" w:cs="David"/>
          <w:b/>
          <w:bCs/>
          <w:sz w:val="30"/>
          <w:szCs w:val="30"/>
          <w:rtl/>
        </w:rPr>
        <w:t>תדין</w:t>
      </w:r>
      <w:proofErr w:type="spellEnd"/>
      <w:r w:rsidRPr="003C6BB9">
        <w:rPr>
          <w:rFonts w:ascii="Calibri" w:eastAsia="Calibri" w:hAnsi="Calibri" w:cs="David"/>
          <w:b/>
          <w:bCs/>
          <w:sz w:val="30"/>
          <w:szCs w:val="30"/>
          <w:rtl/>
        </w:rPr>
        <w:t xml:space="preserve"> כן ידונו אותך מן השמים לזכות</w:t>
      </w:r>
      <w:r w:rsidRPr="003C6BB9">
        <w:rPr>
          <w:rFonts w:ascii="Calibri" w:eastAsia="Calibri" w:hAnsi="Calibri" w:cs="David" w:hint="cs"/>
          <w:b/>
          <w:bCs/>
          <w:sz w:val="30"/>
          <w:szCs w:val="30"/>
          <w:rtl/>
        </w:rPr>
        <w:t>,</w:t>
      </w:r>
      <w:r w:rsidRPr="003C6BB9">
        <w:rPr>
          <w:rFonts w:ascii="Calibri" w:eastAsia="Calibri" w:hAnsi="Calibri" w:cs="David"/>
          <w:b/>
          <w:bCs/>
          <w:sz w:val="30"/>
          <w:szCs w:val="30"/>
          <w:rtl/>
        </w:rPr>
        <w:t xml:space="preserve"> כמו שמפורש בפ</w:t>
      </w:r>
      <w:r w:rsidRPr="003C6BB9">
        <w:rPr>
          <w:rFonts w:ascii="Calibri" w:eastAsia="Calibri" w:hAnsi="Calibri" w:cs="David" w:hint="cs"/>
          <w:b/>
          <w:bCs/>
          <w:sz w:val="30"/>
          <w:szCs w:val="30"/>
          <w:rtl/>
        </w:rPr>
        <w:t>רק</w:t>
      </w:r>
      <w:r w:rsidRPr="003C6BB9">
        <w:rPr>
          <w:rFonts w:ascii="Calibri" w:eastAsia="Calibri" w:hAnsi="Calibri" w:cs="David"/>
          <w:b/>
          <w:bCs/>
          <w:sz w:val="30"/>
          <w:szCs w:val="30"/>
          <w:rtl/>
        </w:rPr>
        <w:t xml:space="preserve"> </w:t>
      </w:r>
      <w:proofErr w:type="spellStart"/>
      <w:r w:rsidRPr="003C6BB9">
        <w:rPr>
          <w:rFonts w:ascii="Calibri" w:eastAsia="Calibri" w:hAnsi="Calibri" w:cs="David"/>
          <w:b/>
          <w:bCs/>
          <w:sz w:val="30"/>
          <w:szCs w:val="30"/>
          <w:rtl/>
        </w:rPr>
        <w:t>מפנין</w:t>
      </w:r>
      <w:proofErr w:type="spellEnd"/>
      <w:r w:rsidRPr="003C6BB9">
        <w:rPr>
          <w:rFonts w:ascii="Calibri" w:eastAsia="Calibri" w:hAnsi="Calibri" w:cs="David" w:hint="cs"/>
          <w:b/>
          <w:bCs/>
          <w:sz w:val="30"/>
          <w:szCs w:val="30"/>
          <w:rtl/>
        </w:rPr>
        <w:t>'</w:t>
      </w:r>
      <w:r>
        <w:rPr>
          <w:rFonts w:ascii="Calibri" w:eastAsia="Calibri" w:hAnsi="Calibri" w:cs="David" w:hint="cs"/>
          <w:sz w:val="30"/>
          <w:szCs w:val="30"/>
          <w:rtl/>
        </w:rPr>
        <w:t xml:space="preserve">. מבואר בדבריו, שכאשר אתה רואה אדם עושה מעשה הנראה מעשה רע או שאסור לעשותו, ובאפשרותך לומר שהיה זה מעשה טוב או שכוונתו הייתה לטובה, כל עוד שלא נודע לך בבירור שאכן היה זה מעשה רע כפי שראו עיניך הרי שאתה צריך </w:t>
      </w:r>
      <w:r w:rsidR="00DF240A">
        <w:rPr>
          <w:rFonts w:ascii="Calibri" w:eastAsia="Calibri" w:hAnsi="Calibri" w:cs="David" w:hint="cs"/>
          <w:sz w:val="30"/>
          <w:szCs w:val="30"/>
          <w:rtl/>
        </w:rPr>
        <w:t xml:space="preserve">תמיד </w:t>
      </w:r>
      <w:r>
        <w:rPr>
          <w:rFonts w:ascii="Calibri" w:eastAsia="Calibri" w:hAnsi="Calibri" w:cs="David" w:hint="cs"/>
          <w:sz w:val="30"/>
          <w:szCs w:val="30"/>
          <w:rtl/>
        </w:rPr>
        <w:t xml:space="preserve">לחשוב </w:t>
      </w:r>
      <w:r w:rsidR="00DF240A">
        <w:rPr>
          <w:rFonts w:ascii="Calibri" w:eastAsia="Calibri" w:hAnsi="Calibri" w:cs="David" w:hint="cs"/>
          <w:sz w:val="30"/>
          <w:szCs w:val="30"/>
          <w:rtl/>
        </w:rPr>
        <w:t xml:space="preserve">עליו </w:t>
      </w:r>
      <w:r>
        <w:rPr>
          <w:rFonts w:ascii="Calibri" w:eastAsia="Calibri" w:hAnsi="Calibri" w:cs="David" w:hint="cs"/>
          <w:sz w:val="30"/>
          <w:szCs w:val="30"/>
          <w:rtl/>
        </w:rPr>
        <w:t>ולומר כי מן הסתם כוונתו הייתה לטובה</w:t>
      </w:r>
      <w:r w:rsidR="00995939">
        <w:rPr>
          <w:rStyle w:val="a5"/>
          <w:rFonts w:ascii="Calibri" w:eastAsia="Calibri" w:hAnsi="Calibri" w:cs="David"/>
          <w:sz w:val="30"/>
          <w:szCs w:val="30"/>
          <w:rtl/>
        </w:rPr>
        <w:footnoteReference w:id="1"/>
      </w:r>
      <w:r>
        <w:rPr>
          <w:rFonts w:ascii="Calibri" w:eastAsia="Calibri" w:hAnsi="Calibri" w:cs="David" w:hint="cs"/>
          <w:sz w:val="30"/>
          <w:szCs w:val="30"/>
          <w:rtl/>
        </w:rPr>
        <w:t xml:space="preserve">. </w:t>
      </w:r>
      <w:r w:rsidR="00DF240A">
        <w:rPr>
          <w:rFonts w:ascii="Calibri" w:eastAsia="Calibri" w:hAnsi="Calibri" w:cs="David" w:hint="cs"/>
          <w:sz w:val="30"/>
          <w:szCs w:val="30"/>
          <w:rtl/>
        </w:rPr>
        <w:t>זה נקרא לדון לכף זכות. ורש"י מוסיף, שאם תנהג בדרך הזו, תזכה שמן השמים גם אותך ידונו לזכות, וכפי שנרחיב בזה להלן.</w:t>
      </w:r>
    </w:p>
    <w:p w14:paraId="4B335986" w14:textId="5CC2D7B3" w:rsidR="00995939" w:rsidRDefault="00995939" w:rsidP="00E14307">
      <w:pPr>
        <w:keepNext/>
        <w:keepLines/>
        <w:widowControl w:val="0"/>
        <w:spacing w:before="240" w:after="40" w:line="360" w:lineRule="auto"/>
        <w:ind w:left="-284"/>
        <w:jc w:val="both"/>
        <w:outlineLvl w:val="4"/>
        <w:rPr>
          <w:rFonts w:eastAsia="Calibri" w:cstheme="majorBidi"/>
          <w:bCs/>
          <w:color w:val="5A5A5A" w:themeColor="text1" w:themeTint="A5"/>
          <w:szCs w:val="26"/>
          <w:rtl/>
        </w:rPr>
      </w:pPr>
      <w:r>
        <w:rPr>
          <w:rFonts w:eastAsia="Calibri" w:cstheme="majorBidi" w:hint="cs"/>
          <w:bCs/>
          <w:color w:val="5A5A5A" w:themeColor="text1" w:themeTint="A5"/>
          <w:szCs w:val="26"/>
          <w:rtl/>
        </w:rPr>
        <w:t>במחשבה בלבד</w:t>
      </w:r>
    </w:p>
    <w:p w14:paraId="6A11B38E" w14:textId="543D265B" w:rsidR="00995939" w:rsidRDefault="00995939" w:rsidP="00995939">
      <w:pPr>
        <w:spacing w:after="0" w:line="360" w:lineRule="auto"/>
        <w:jc w:val="both"/>
        <w:rPr>
          <w:rFonts w:ascii="Calibri" w:eastAsia="Calibri" w:hAnsi="Calibri" w:cs="David"/>
          <w:sz w:val="30"/>
          <w:szCs w:val="30"/>
          <w:rtl/>
        </w:rPr>
      </w:pPr>
      <w:r>
        <w:rPr>
          <w:rFonts w:ascii="Calibri" w:eastAsia="Calibri" w:hAnsi="Calibri" w:cs="David" w:hint="cs"/>
          <w:sz w:val="30"/>
          <w:szCs w:val="30"/>
          <w:rtl/>
        </w:rPr>
        <w:t xml:space="preserve">ובדרך </w:t>
      </w:r>
      <w:r>
        <w:rPr>
          <w:rFonts w:ascii="Calibri" w:eastAsia="Calibri" w:hAnsi="Calibri" w:cs="David" w:hint="cs"/>
          <w:sz w:val="30"/>
          <w:szCs w:val="30"/>
          <w:rtl/>
        </w:rPr>
        <w:t xml:space="preserve">משל, אם אתה רואה בשבת אדם משוחח בטלפון, </w:t>
      </w:r>
      <w:r w:rsidR="009A700F">
        <w:rPr>
          <w:rFonts w:ascii="Calibri" w:eastAsia="Calibri" w:hAnsi="Calibri" w:cs="David" w:hint="cs"/>
          <w:sz w:val="30"/>
          <w:szCs w:val="30"/>
          <w:rtl/>
        </w:rPr>
        <w:t xml:space="preserve">אתה מיד חושב לעצמיך 'איזה רשע! הוא מחלל שבת </w:t>
      </w:r>
      <w:proofErr w:type="spellStart"/>
      <w:r w:rsidR="009A700F">
        <w:rPr>
          <w:rFonts w:ascii="Calibri" w:eastAsia="Calibri" w:hAnsi="Calibri" w:cs="David" w:hint="cs"/>
          <w:sz w:val="30"/>
          <w:szCs w:val="30"/>
          <w:rtl/>
        </w:rPr>
        <w:t>בפרהסיא</w:t>
      </w:r>
      <w:proofErr w:type="spellEnd"/>
      <w:r w:rsidR="009A700F">
        <w:rPr>
          <w:rFonts w:ascii="Calibri" w:eastAsia="Calibri" w:hAnsi="Calibri" w:cs="David" w:hint="cs"/>
          <w:sz w:val="30"/>
          <w:szCs w:val="30"/>
          <w:rtl/>
        </w:rPr>
        <w:t>'! אבל אתה יכול לעצור רגע ו</w:t>
      </w:r>
      <w:r w:rsidR="009A700F">
        <w:rPr>
          <w:rFonts w:ascii="Calibri" w:eastAsia="Calibri" w:hAnsi="Calibri" w:cs="David" w:hint="cs"/>
          <w:sz w:val="30"/>
          <w:szCs w:val="30"/>
          <w:rtl/>
        </w:rPr>
        <w:t>לחשוב</w:t>
      </w:r>
      <w:r w:rsidR="009A700F">
        <w:rPr>
          <w:rFonts w:ascii="Calibri" w:eastAsia="Calibri" w:hAnsi="Calibri" w:cs="David" w:hint="cs"/>
          <w:sz w:val="30"/>
          <w:szCs w:val="30"/>
          <w:rtl/>
        </w:rPr>
        <w:t xml:space="preserve"> 'אולי יש כאן איזה חולה בסכנת חיים והוא מזעיק עזרה'? הכלל שצריך להנחות אותך הוא: כל עוד שלא ידוע לך בבירור שהוא עשה מעשה אסור ויש לך אפשרות לומר שזה מעשה טוב, מחובתך לדון אותו לכף זכות.</w:t>
      </w:r>
    </w:p>
    <w:p w14:paraId="05BAD978" w14:textId="051EE0C2" w:rsidR="00995939" w:rsidRDefault="00995939" w:rsidP="00995939">
      <w:pPr>
        <w:spacing w:after="0" w:line="360" w:lineRule="auto"/>
        <w:jc w:val="both"/>
        <w:rPr>
          <w:rFonts w:ascii="Calibri" w:eastAsia="Calibri" w:hAnsi="Calibri" w:cs="David"/>
          <w:sz w:val="30"/>
          <w:szCs w:val="30"/>
          <w:rtl/>
        </w:rPr>
      </w:pPr>
      <w:r>
        <w:rPr>
          <w:rFonts w:ascii="Calibri" w:eastAsia="Calibri" w:hAnsi="Calibri" w:cs="David" w:hint="cs"/>
          <w:sz w:val="30"/>
          <w:szCs w:val="30"/>
          <w:rtl/>
        </w:rPr>
        <w:t xml:space="preserve">ובכדי לקיים </w:t>
      </w:r>
      <w:r w:rsidR="00DF240A">
        <w:rPr>
          <w:rFonts w:ascii="Calibri" w:eastAsia="Calibri" w:hAnsi="Calibri" w:cs="David" w:hint="cs"/>
          <w:sz w:val="30"/>
          <w:szCs w:val="30"/>
          <w:rtl/>
        </w:rPr>
        <w:t xml:space="preserve">את </w:t>
      </w:r>
      <w:proofErr w:type="spellStart"/>
      <w:r w:rsidR="00DF240A">
        <w:rPr>
          <w:rFonts w:ascii="Calibri" w:eastAsia="Calibri" w:hAnsi="Calibri" w:cs="David" w:hint="cs"/>
          <w:sz w:val="30"/>
          <w:szCs w:val="30"/>
          <w:rtl/>
        </w:rPr>
        <w:t>ה</w:t>
      </w:r>
      <w:r>
        <w:rPr>
          <w:rFonts w:ascii="Calibri" w:eastAsia="Calibri" w:hAnsi="Calibri" w:cs="David" w:hint="cs"/>
          <w:sz w:val="30"/>
          <w:szCs w:val="30"/>
          <w:rtl/>
        </w:rPr>
        <w:t>מצוה</w:t>
      </w:r>
      <w:proofErr w:type="spellEnd"/>
      <w:r>
        <w:rPr>
          <w:rFonts w:ascii="Calibri" w:eastAsia="Calibri" w:hAnsi="Calibri" w:cs="David" w:hint="cs"/>
          <w:sz w:val="30"/>
          <w:szCs w:val="30"/>
          <w:rtl/>
        </w:rPr>
        <w:t xml:space="preserve"> </w:t>
      </w:r>
      <w:r w:rsidR="00DF240A">
        <w:rPr>
          <w:rFonts w:ascii="Calibri" w:eastAsia="Calibri" w:hAnsi="Calibri" w:cs="David" w:hint="cs"/>
          <w:sz w:val="30"/>
          <w:szCs w:val="30"/>
          <w:rtl/>
        </w:rPr>
        <w:t>ה</w:t>
      </w:r>
      <w:r>
        <w:rPr>
          <w:rFonts w:ascii="Calibri" w:eastAsia="Calibri" w:hAnsi="Calibri" w:cs="David" w:hint="cs"/>
          <w:sz w:val="30"/>
          <w:szCs w:val="30"/>
          <w:rtl/>
        </w:rPr>
        <w:t>זו אין צורך לדבר או לעשות מעשה כל שהוא, אלא במחשבה בלבד</w:t>
      </w:r>
      <w:r>
        <w:rPr>
          <w:rStyle w:val="a5"/>
          <w:rFonts w:ascii="Calibri" w:eastAsia="Calibri" w:hAnsi="Calibri" w:cs="David"/>
          <w:sz w:val="30"/>
          <w:szCs w:val="30"/>
          <w:rtl/>
        </w:rPr>
        <w:footnoteReference w:id="2"/>
      </w:r>
      <w:r>
        <w:rPr>
          <w:rFonts w:ascii="Calibri" w:eastAsia="Calibri" w:hAnsi="Calibri" w:cs="David" w:hint="cs"/>
          <w:sz w:val="30"/>
          <w:szCs w:val="30"/>
          <w:rtl/>
        </w:rPr>
        <w:t xml:space="preserve"> מקיימים אותה, דהיינו לחשוב על חברך שהוא צדיק והמעשה שעשה היה מעשה טוב.</w:t>
      </w:r>
      <w:r w:rsidR="00DF240A">
        <w:rPr>
          <w:rStyle w:val="a5"/>
          <w:rFonts w:ascii="Calibri" w:eastAsia="Calibri" w:hAnsi="Calibri" w:cs="David"/>
          <w:sz w:val="30"/>
          <w:szCs w:val="30"/>
          <w:rtl/>
        </w:rPr>
        <w:footnoteReference w:id="3"/>
      </w:r>
    </w:p>
    <w:p w14:paraId="6B325739" w14:textId="3BABDC68" w:rsidR="00E14307" w:rsidRDefault="00E14307" w:rsidP="00E14307">
      <w:pPr>
        <w:keepNext/>
        <w:keepLines/>
        <w:widowControl w:val="0"/>
        <w:spacing w:before="240" w:after="40" w:line="360" w:lineRule="auto"/>
        <w:ind w:left="-284"/>
        <w:jc w:val="both"/>
        <w:outlineLvl w:val="4"/>
        <w:rPr>
          <w:rFonts w:eastAsia="Calibri" w:cstheme="majorBidi"/>
          <w:bCs/>
          <w:color w:val="5A5A5A" w:themeColor="text1" w:themeTint="A5"/>
          <w:szCs w:val="26"/>
          <w:rtl/>
        </w:rPr>
      </w:pPr>
      <w:r>
        <w:rPr>
          <w:rFonts w:eastAsia="Calibri" w:cstheme="majorBidi" w:hint="cs"/>
          <w:bCs/>
          <w:color w:val="5A5A5A" w:themeColor="text1" w:themeTint="A5"/>
          <w:szCs w:val="26"/>
          <w:rtl/>
        </w:rPr>
        <w:lastRenderedPageBreak/>
        <w:t xml:space="preserve">מקור </w:t>
      </w:r>
      <w:proofErr w:type="spellStart"/>
      <w:r>
        <w:rPr>
          <w:rFonts w:eastAsia="Calibri" w:cstheme="majorBidi" w:hint="cs"/>
          <w:bCs/>
          <w:color w:val="5A5A5A" w:themeColor="text1" w:themeTint="A5"/>
          <w:szCs w:val="26"/>
          <w:rtl/>
        </w:rPr>
        <w:t>המצוה</w:t>
      </w:r>
      <w:proofErr w:type="spellEnd"/>
      <w:r>
        <w:rPr>
          <w:rFonts w:eastAsia="Calibri" w:cstheme="majorBidi" w:hint="cs"/>
          <w:bCs/>
          <w:color w:val="5A5A5A" w:themeColor="text1" w:themeTint="A5"/>
          <w:szCs w:val="26"/>
          <w:rtl/>
        </w:rPr>
        <w:t xml:space="preserve"> בתורה</w:t>
      </w:r>
    </w:p>
    <w:p w14:paraId="63EBE162" w14:textId="2D7E1921" w:rsidR="00E14307" w:rsidRDefault="00E14307" w:rsidP="00385D8B">
      <w:pPr>
        <w:spacing w:after="0" w:line="360" w:lineRule="auto"/>
        <w:jc w:val="both"/>
        <w:rPr>
          <w:rFonts w:ascii="Calibri" w:eastAsia="Calibri" w:hAnsi="Calibri" w:cs="David"/>
          <w:sz w:val="30"/>
          <w:szCs w:val="30"/>
          <w:rtl/>
        </w:rPr>
      </w:pPr>
      <w:r>
        <w:rPr>
          <w:rFonts w:ascii="Calibri" w:eastAsia="Calibri" w:hAnsi="Calibri" w:cs="David" w:hint="cs"/>
          <w:sz w:val="30"/>
          <w:szCs w:val="30"/>
          <w:rtl/>
        </w:rPr>
        <w:t xml:space="preserve">את החובה לדון לכף זכות למדו חז"ל </w:t>
      </w:r>
      <w:r w:rsidR="001853CB">
        <w:rPr>
          <w:rFonts w:ascii="Calibri" w:eastAsia="Calibri" w:hAnsi="Calibri" w:cs="David" w:hint="cs"/>
          <w:sz w:val="30"/>
          <w:szCs w:val="30"/>
          <w:rtl/>
        </w:rPr>
        <w:t xml:space="preserve">במסכת </w:t>
      </w:r>
      <w:r>
        <w:rPr>
          <w:rFonts w:ascii="Calibri" w:eastAsia="Calibri" w:hAnsi="Calibri" w:cs="David" w:hint="cs"/>
          <w:sz w:val="30"/>
          <w:szCs w:val="30"/>
          <w:rtl/>
        </w:rPr>
        <w:t xml:space="preserve">שבועות </w:t>
      </w:r>
      <w:r w:rsidR="001853CB">
        <w:rPr>
          <w:rFonts w:ascii="Calibri" w:eastAsia="Calibri" w:hAnsi="Calibri" w:cs="David" w:hint="cs"/>
          <w:sz w:val="30"/>
          <w:szCs w:val="30"/>
          <w:rtl/>
        </w:rPr>
        <w:t>(</w:t>
      </w:r>
      <w:r>
        <w:rPr>
          <w:rFonts w:ascii="Calibri" w:eastAsia="Calibri" w:hAnsi="Calibri" w:cs="David" w:hint="cs"/>
          <w:sz w:val="30"/>
          <w:szCs w:val="30"/>
          <w:rtl/>
        </w:rPr>
        <w:t xml:space="preserve">ל.) מהפסוק </w:t>
      </w:r>
      <w:r w:rsidR="001853CB" w:rsidRPr="006D6519">
        <w:rPr>
          <w:rFonts w:ascii="Calibri" w:eastAsia="Calibri" w:hAnsi="Calibri" w:cs="David" w:hint="cs"/>
          <w:b/>
          <w:bCs/>
          <w:sz w:val="30"/>
          <w:szCs w:val="30"/>
          <w:rtl/>
        </w:rPr>
        <w:t>'בצדק תשפוט עמיתך'</w:t>
      </w:r>
      <w:r w:rsidR="001853CB">
        <w:rPr>
          <w:rFonts w:ascii="Calibri" w:eastAsia="Calibri" w:hAnsi="Calibri" w:cs="David" w:hint="cs"/>
          <w:sz w:val="30"/>
          <w:szCs w:val="30"/>
          <w:rtl/>
        </w:rPr>
        <w:t xml:space="preserve"> (ויקרא </w:t>
      </w:r>
      <w:proofErr w:type="spellStart"/>
      <w:r w:rsidR="001853CB">
        <w:rPr>
          <w:rFonts w:ascii="Calibri" w:eastAsia="Calibri" w:hAnsi="Calibri" w:cs="David" w:hint="cs"/>
          <w:sz w:val="30"/>
          <w:szCs w:val="30"/>
          <w:rtl/>
        </w:rPr>
        <w:t>יט</w:t>
      </w:r>
      <w:proofErr w:type="spellEnd"/>
      <w:r w:rsidR="001853CB">
        <w:rPr>
          <w:rFonts w:ascii="Calibri" w:eastAsia="Calibri" w:hAnsi="Calibri" w:cs="David" w:hint="cs"/>
          <w:sz w:val="30"/>
          <w:szCs w:val="30"/>
          <w:rtl/>
        </w:rPr>
        <w:t xml:space="preserve">, טו), כלומר, </w:t>
      </w:r>
      <w:r w:rsidR="006D6519">
        <w:rPr>
          <w:rFonts w:ascii="Calibri" w:eastAsia="Calibri" w:hAnsi="Calibri" w:cs="David" w:hint="cs"/>
          <w:sz w:val="30"/>
          <w:szCs w:val="30"/>
          <w:rtl/>
        </w:rPr>
        <w:t>הם</w:t>
      </w:r>
      <w:r w:rsidR="001853CB">
        <w:rPr>
          <w:rFonts w:ascii="Calibri" w:eastAsia="Calibri" w:hAnsi="Calibri" w:cs="David" w:hint="cs"/>
          <w:sz w:val="30"/>
          <w:szCs w:val="30"/>
          <w:rtl/>
        </w:rPr>
        <w:t xml:space="preserve"> למדו את </w:t>
      </w:r>
      <w:r w:rsidR="006D6519">
        <w:rPr>
          <w:rFonts w:ascii="Calibri" w:eastAsia="Calibri" w:hAnsi="Calibri" w:cs="David" w:hint="cs"/>
          <w:sz w:val="30"/>
          <w:szCs w:val="30"/>
          <w:rtl/>
        </w:rPr>
        <w:t xml:space="preserve">משמעות </w:t>
      </w:r>
      <w:r w:rsidR="006D6519">
        <w:rPr>
          <w:rFonts w:ascii="Calibri" w:eastAsia="Calibri" w:hAnsi="Calibri" w:cs="David" w:hint="cs"/>
          <w:sz w:val="30"/>
          <w:szCs w:val="30"/>
          <w:rtl/>
        </w:rPr>
        <w:t xml:space="preserve">המילה </w:t>
      </w:r>
      <w:r w:rsidR="006D6519" w:rsidRPr="006D6519">
        <w:rPr>
          <w:rFonts w:ascii="Calibri" w:eastAsia="Calibri" w:hAnsi="Calibri" w:cs="David" w:hint="cs"/>
          <w:b/>
          <w:bCs/>
          <w:sz w:val="30"/>
          <w:szCs w:val="30"/>
          <w:rtl/>
        </w:rPr>
        <w:t>'בצדק'</w:t>
      </w:r>
      <w:r w:rsidR="006D6519">
        <w:rPr>
          <w:rFonts w:ascii="Calibri" w:eastAsia="Calibri" w:hAnsi="Calibri" w:cs="David" w:hint="cs"/>
          <w:sz w:val="30"/>
          <w:szCs w:val="30"/>
          <w:rtl/>
        </w:rPr>
        <w:t xml:space="preserve"> מלשון </w:t>
      </w:r>
      <w:r w:rsidR="006D6519" w:rsidRPr="006D6519">
        <w:rPr>
          <w:rFonts w:ascii="Calibri" w:eastAsia="Calibri" w:hAnsi="Calibri" w:cs="David" w:hint="cs"/>
          <w:b/>
          <w:bCs/>
          <w:sz w:val="30"/>
          <w:szCs w:val="30"/>
          <w:rtl/>
        </w:rPr>
        <w:t>להצדיק</w:t>
      </w:r>
      <w:r w:rsidR="006D6519">
        <w:rPr>
          <w:rStyle w:val="a5"/>
          <w:rFonts w:ascii="Calibri" w:eastAsia="Calibri" w:hAnsi="Calibri" w:cs="David"/>
          <w:sz w:val="30"/>
          <w:szCs w:val="30"/>
          <w:rtl/>
        </w:rPr>
        <w:footnoteReference w:id="4"/>
      </w:r>
      <w:r w:rsidR="006D6519">
        <w:rPr>
          <w:rFonts w:ascii="Calibri" w:eastAsia="Calibri" w:hAnsi="Calibri" w:cs="David" w:hint="cs"/>
          <w:sz w:val="30"/>
          <w:szCs w:val="30"/>
          <w:rtl/>
        </w:rPr>
        <w:t xml:space="preserve">, </w:t>
      </w:r>
      <w:r w:rsidR="00CF4A72">
        <w:rPr>
          <w:rFonts w:ascii="Calibri" w:eastAsia="Calibri" w:hAnsi="Calibri" w:cs="David" w:hint="cs"/>
          <w:sz w:val="30"/>
          <w:szCs w:val="30"/>
          <w:rtl/>
        </w:rPr>
        <w:t xml:space="preserve">שצריך לחשוב כיצד ניתן </w:t>
      </w:r>
      <w:r w:rsidR="00CF4A72" w:rsidRPr="006D6519">
        <w:rPr>
          <w:rFonts w:ascii="Calibri" w:eastAsia="Calibri" w:hAnsi="Calibri" w:cs="David" w:hint="cs"/>
          <w:sz w:val="30"/>
          <w:szCs w:val="30"/>
          <w:rtl/>
        </w:rPr>
        <w:t>להצדיק</w:t>
      </w:r>
      <w:r w:rsidR="00CF4A72">
        <w:rPr>
          <w:rFonts w:ascii="Calibri" w:eastAsia="Calibri" w:hAnsi="Calibri" w:cs="David" w:hint="cs"/>
          <w:sz w:val="30"/>
          <w:szCs w:val="30"/>
          <w:rtl/>
        </w:rPr>
        <w:t xml:space="preserve"> את חברך </w:t>
      </w:r>
      <w:r w:rsidR="006D6519">
        <w:rPr>
          <w:rFonts w:ascii="Calibri" w:eastAsia="Calibri" w:hAnsi="Calibri" w:cs="David" w:hint="cs"/>
          <w:sz w:val="30"/>
          <w:szCs w:val="30"/>
          <w:rtl/>
        </w:rPr>
        <w:t>ולנסות</w:t>
      </w:r>
      <w:r w:rsidR="006D6519">
        <w:rPr>
          <w:rFonts w:ascii="Calibri" w:eastAsia="Calibri" w:hAnsi="Calibri" w:cs="David" w:hint="cs"/>
          <w:sz w:val="30"/>
          <w:szCs w:val="30"/>
          <w:rtl/>
        </w:rPr>
        <w:t xml:space="preserve"> למצוא אפשרות </w:t>
      </w:r>
      <w:r w:rsidR="00385D8B">
        <w:rPr>
          <w:rFonts w:ascii="Calibri" w:eastAsia="Calibri" w:hAnsi="Calibri" w:cs="David" w:hint="cs"/>
          <w:sz w:val="30"/>
          <w:szCs w:val="30"/>
          <w:rtl/>
        </w:rPr>
        <w:t xml:space="preserve">של צדק במעשיו </w:t>
      </w:r>
      <w:r w:rsidR="006D6519">
        <w:rPr>
          <w:rFonts w:ascii="Calibri" w:eastAsia="Calibri" w:hAnsi="Calibri" w:cs="David" w:hint="cs"/>
          <w:sz w:val="30"/>
          <w:szCs w:val="30"/>
          <w:rtl/>
        </w:rPr>
        <w:t xml:space="preserve">כדי לדון אותו לכף זכות. </w:t>
      </w:r>
      <w:r w:rsidR="00FD0250" w:rsidRPr="009A700F">
        <w:rPr>
          <w:rFonts w:ascii="Calibri" w:eastAsia="Calibri" w:hAnsi="Calibri" w:cs="David" w:hint="cs"/>
          <w:b/>
          <w:bCs/>
          <w:sz w:val="30"/>
          <w:szCs w:val="30"/>
          <w:rtl/>
        </w:rPr>
        <w:t>ו</w:t>
      </w:r>
      <w:r w:rsidR="00FD0250" w:rsidRPr="009A700F">
        <w:rPr>
          <w:rFonts w:ascii="Calibri" w:eastAsia="Calibri" w:hAnsi="Calibri" w:cs="David" w:hint="cs"/>
          <w:b/>
          <w:bCs/>
          <w:sz w:val="30"/>
          <w:szCs w:val="30"/>
          <w:rtl/>
        </w:rPr>
        <w:t>רבנו יונה</w:t>
      </w:r>
      <w:r w:rsidR="00FD0250">
        <w:rPr>
          <w:rFonts w:ascii="Calibri" w:eastAsia="Calibri" w:hAnsi="Calibri" w:cs="David" w:hint="cs"/>
          <w:sz w:val="30"/>
          <w:szCs w:val="30"/>
          <w:rtl/>
        </w:rPr>
        <w:t xml:space="preserve"> </w:t>
      </w:r>
      <w:r w:rsidR="006D6519">
        <w:rPr>
          <w:rFonts w:ascii="Calibri" w:eastAsia="Calibri" w:hAnsi="Calibri" w:cs="David" w:hint="cs"/>
          <w:sz w:val="30"/>
          <w:szCs w:val="30"/>
          <w:rtl/>
        </w:rPr>
        <w:t>בספר</w:t>
      </w:r>
      <w:r w:rsidR="00FD0250">
        <w:rPr>
          <w:rFonts w:ascii="Calibri" w:eastAsia="Calibri" w:hAnsi="Calibri" w:cs="David" w:hint="cs"/>
          <w:sz w:val="30"/>
          <w:szCs w:val="30"/>
          <w:rtl/>
        </w:rPr>
        <w:t>ו</w:t>
      </w:r>
      <w:r w:rsidR="006D6519">
        <w:rPr>
          <w:rFonts w:ascii="Calibri" w:eastAsia="Calibri" w:hAnsi="Calibri" w:cs="David" w:hint="cs"/>
          <w:sz w:val="30"/>
          <w:szCs w:val="30"/>
          <w:rtl/>
        </w:rPr>
        <w:t xml:space="preserve"> </w:t>
      </w:r>
      <w:r w:rsidR="006D6519" w:rsidRPr="009A700F">
        <w:rPr>
          <w:rFonts w:ascii="Calibri" w:eastAsia="Calibri" w:hAnsi="Calibri" w:cs="David" w:hint="cs"/>
          <w:b/>
          <w:bCs/>
          <w:sz w:val="30"/>
          <w:szCs w:val="30"/>
          <w:rtl/>
        </w:rPr>
        <w:t>שערי תשובה</w:t>
      </w:r>
      <w:r w:rsidR="00FD0250">
        <w:rPr>
          <w:rFonts w:ascii="Calibri" w:eastAsia="Calibri" w:hAnsi="Calibri" w:cs="David" w:hint="cs"/>
          <w:sz w:val="30"/>
          <w:szCs w:val="30"/>
          <w:rtl/>
        </w:rPr>
        <w:t xml:space="preserve"> (שער ג אות ריח)</w:t>
      </w:r>
      <w:r w:rsidR="006D6519">
        <w:rPr>
          <w:rFonts w:ascii="Calibri" w:eastAsia="Calibri" w:hAnsi="Calibri" w:cs="David" w:hint="cs"/>
          <w:sz w:val="30"/>
          <w:szCs w:val="30"/>
          <w:rtl/>
        </w:rPr>
        <w:t xml:space="preserve"> כתב </w:t>
      </w:r>
      <w:r w:rsidR="00FD0250">
        <w:rPr>
          <w:rFonts w:ascii="Calibri" w:eastAsia="Calibri" w:hAnsi="Calibri" w:cs="David" w:hint="cs"/>
          <w:sz w:val="30"/>
          <w:szCs w:val="30"/>
          <w:rtl/>
        </w:rPr>
        <w:t xml:space="preserve">שלדון לכף זכות זו </w:t>
      </w:r>
      <w:r w:rsidR="00FD0250" w:rsidRPr="009A700F">
        <w:rPr>
          <w:rFonts w:ascii="Calibri" w:eastAsia="Calibri" w:hAnsi="Calibri" w:cs="David" w:hint="cs"/>
          <w:b/>
          <w:bCs/>
          <w:sz w:val="30"/>
          <w:szCs w:val="30"/>
          <w:rtl/>
        </w:rPr>
        <w:t>מצות עשה מן התורה</w:t>
      </w:r>
      <w:r w:rsidR="00FD0250">
        <w:rPr>
          <w:rStyle w:val="a5"/>
          <w:rFonts w:ascii="Calibri" w:eastAsia="Calibri" w:hAnsi="Calibri" w:cs="David"/>
          <w:sz w:val="30"/>
          <w:szCs w:val="30"/>
          <w:rtl/>
        </w:rPr>
        <w:footnoteReference w:id="5"/>
      </w:r>
      <w:r w:rsidR="00FD0250">
        <w:rPr>
          <w:rFonts w:ascii="Calibri" w:eastAsia="Calibri" w:hAnsi="Calibri" w:cs="David" w:hint="cs"/>
          <w:sz w:val="30"/>
          <w:szCs w:val="30"/>
          <w:rtl/>
        </w:rPr>
        <w:t xml:space="preserve">. </w:t>
      </w:r>
    </w:p>
    <w:p w14:paraId="1E9A7A52" w14:textId="585A22D0" w:rsidR="00385D8B" w:rsidRPr="00E14307" w:rsidRDefault="00385D8B" w:rsidP="00385D8B">
      <w:pPr>
        <w:spacing w:line="360" w:lineRule="auto"/>
        <w:jc w:val="both"/>
        <w:rPr>
          <w:rFonts w:ascii="Calibri" w:eastAsia="Calibri" w:hAnsi="Calibri" w:cs="David"/>
          <w:sz w:val="30"/>
          <w:szCs w:val="30"/>
        </w:rPr>
      </w:pPr>
      <w:r>
        <w:rPr>
          <w:rFonts w:ascii="Calibri" w:eastAsia="Calibri" w:hAnsi="Calibri" w:cs="David" w:hint="cs"/>
          <w:sz w:val="30"/>
          <w:szCs w:val="30"/>
          <w:rtl/>
        </w:rPr>
        <w:t xml:space="preserve">ובפירוש </w:t>
      </w:r>
      <w:r w:rsidRPr="009A700F">
        <w:rPr>
          <w:rFonts w:ascii="Calibri" w:eastAsia="Calibri" w:hAnsi="Calibri" w:cs="David"/>
          <w:b/>
          <w:bCs/>
          <w:sz w:val="30"/>
          <w:szCs w:val="30"/>
          <w:rtl/>
        </w:rPr>
        <w:t xml:space="preserve">מגן אבות </w:t>
      </w:r>
      <w:proofErr w:type="spellStart"/>
      <w:r w:rsidRPr="009A700F">
        <w:rPr>
          <w:rFonts w:ascii="Calibri" w:eastAsia="Calibri" w:hAnsi="Calibri" w:cs="David"/>
          <w:b/>
          <w:bCs/>
          <w:sz w:val="30"/>
          <w:szCs w:val="30"/>
          <w:rtl/>
        </w:rPr>
        <w:t>לרשב"ץ</w:t>
      </w:r>
      <w:proofErr w:type="spellEnd"/>
      <w:r w:rsidRPr="00385D8B">
        <w:rPr>
          <w:rFonts w:ascii="Calibri" w:eastAsia="Calibri" w:hAnsi="Calibri" w:cs="David"/>
          <w:sz w:val="30"/>
          <w:szCs w:val="30"/>
          <w:rtl/>
        </w:rPr>
        <w:t xml:space="preserve"> </w:t>
      </w:r>
      <w:r>
        <w:rPr>
          <w:rFonts w:ascii="Calibri" w:eastAsia="Calibri" w:hAnsi="Calibri" w:cs="David" w:hint="cs"/>
          <w:sz w:val="30"/>
          <w:szCs w:val="30"/>
          <w:rtl/>
        </w:rPr>
        <w:t>כאן</w:t>
      </w:r>
      <w:r w:rsidRPr="00385D8B">
        <w:rPr>
          <w:rFonts w:ascii="Calibri" w:eastAsia="Calibri" w:hAnsi="Calibri" w:cs="David"/>
          <w:sz w:val="30"/>
          <w:szCs w:val="30"/>
          <w:rtl/>
        </w:rPr>
        <w:t xml:space="preserve"> </w:t>
      </w:r>
      <w:r w:rsidR="00995939">
        <w:rPr>
          <w:rFonts w:ascii="Calibri" w:eastAsia="Calibri" w:hAnsi="Calibri" w:cs="David" w:hint="cs"/>
          <w:sz w:val="30"/>
          <w:szCs w:val="30"/>
          <w:rtl/>
        </w:rPr>
        <w:t xml:space="preserve">כתב שזה כלול גם במצות </w:t>
      </w:r>
      <w:r w:rsidRPr="009A700F">
        <w:rPr>
          <w:rFonts w:ascii="Calibri" w:eastAsia="Calibri" w:hAnsi="Calibri" w:cs="David"/>
          <w:b/>
          <w:bCs/>
          <w:sz w:val="30"/>
          <w:szCs w:val="30"/>
          <w:rtl/>
        </w:rPr>
        <w:t>'ואהבת לרעך כמוך'</w:t>
      </w:r>
      <w:r w:rsidRPr="00385D8B">
        <w:rPr>
          <w:rFonts w:ascii="Calibri" w:eastAsia="Calibri" w:hAnsi="Calibri" w:cs="David"/>
          <w:sz w:val="30"/>
          <w:szCs w:val="30"/>
          <w:rtl/>
        </w:rPr>
        <w:t xml:space="preserve"> </w:t>
      </w:r>
      <w:r w:rsidR="00995939">
        <w:rPr>
          <w:rFonts w:ascii="Calibri" w:eastAsia="Calibri" w:hAnsi="Calibri" w:cs="David" w:hint="cs"/>
          <w:sz w:val="30"/>
          <w:szCs w:val="30"/>
          <w:rtl/>
        </w:rPr>
        <w:t>(</w:t>
      </w:r>
      <w:r w:rsidRPr="00385D8B">
        <w:rPr>
          <w:rFonts w:ascii="Calibri" w:eastAsia="Calibri" w:hAnsi="Calibri" w:cs="David"/>
          <w:sz w:val="30"/>
          <w:szCs w:val="30"/>
          <w:rtl/>
        </w:rPr>
        <w:t xml:space="preserve">ויקרא </w:t>
      </w:r>
      <w:proofErr w:type="spellStart"/>
      <w:r w:rsidRPr="00385D8B">
        <w:rPr>
          <w:rFonts w:ascii="Calibri" w:eastAsia="Calibri" w:hAnsi="Calibri" w:cs="David"/>
          <w:sz w:val="30"/>
          <w:szCs w:val="30"/>
          <w:rtl/>
        </w:rPr>
        <w:t>יט</w:t>
      </w:r>
      <w:proofErr w:type="spellEnd"/>
      <w:r w:rsidR="00995939">
        <w:rPr>
          <w:rFonts w:ascii="Calibri" w:eastAsia="Calibri" w:hAnsi="Calibri" w:cs="David" w:hint="cs"/>
          <w:sz w:val="30"/>
          <w:szCs w:val="30"/>
          <w:rtl/>
        </w:rPr>
        <w:t>,</w:t>
      </w:r>
      <w:r w:rsidRPr="00385D8B">
        <w:rPr>
          <w:rFonts w:ascii="Calibri" w:eastAsia="Calibri" w:hAnsi="Calibri" w:cs="David"/>
          <w:sz w:val="30"/>
          <w:szCs w:val="30"/>
          <w:rtl/>
        </w:rPr>
        <w:t xml:space="preserve"> </w:t>
      </w:r>
      <w:proofErr w:type="spellStart"/>
      <w:r w:rsidRPr="00385D8B">
        <w:rPr>
          <w:rFonts w:ascii="Calibri" w:eastAsia="Calibri" w:hAnsi="Calibri" w:cs="David"/>
          <w:sz w:val="30"/>
          <w:szCs w:val="30"/>
          <w:rtl/>
        </w:rPr>
        <w:t>יח</w:t>
      </w:r>
      <w:proofErr w:type="spellEnd"/>
      <w:r w:rsidR="00995939">
        <w:rPr>
          <w:rFonts w:ascii="Calibri" w:eastAsia="Calibri" w:hAnsi="Calibri" w:cs="David" w:hint="cs"/>
          <w:sz w:val="30"/>
          <w:szCs w:val="30"/>
          <w:rtl/>
        </w:rPr>
        <w:t>), שהרי כל אחד היה רוצה שידונו אותו לכף זכות</w:t>
      </w:r>
      <w:r w:rsidR="00DF240A">
        <w:rPr>
          <w:rFonts w:ascii="Calibri" w:eastAsia="Calibri" w:hAnsi="Calibri" w:cs="David" w:hint="cs"/>
          <w:sz w:val="30"/>
          <w:szCs w:val="30"/>
          <w:rtl/>
        </w:rPr>
        <w:t xml:space="preserve"> ולא לחובה חלילה, אם כן גם את חברך תדון תמיד לכף זכות.</w:t>
      </w:r>
    </w:p>
    <w:sectPr w:rsidR="00385D8B" w:rsidRPr="00E14307" w:rsidSect="00DF240A">
      <w:pgSz w:w="11906" w:h="16838"/>
      <w:pgMar w:top="851" w:right="1800" w:bottom="709"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6C3D" w14:textId="77777777" w:rsidR="00943195" w:rsidRDefault="00943195" w:rsidP="006D6519">
      <w:pPr>
        <w:spacing w:after="0" w:line="240" w:lineRule="auto"/>
      </w:pPr>
      <w:r>
        <w:separator/>
      </w:r>
    </w:p>
  </w:endnote>
  <w:endnote w:type="continuationSeparator" w:id="0">
    <w:p w14:paraId="264AB908" w14:textId="77777777" w:rsidR="00943195" w:rsidRDefault="00943195" w:rsidP="006D6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Guttman Vilna">
    <w:panose1 w:val="02010401010101010101"/>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3BA45" w14:textId="77777777" w:rsidR="00943195" w:rsidRDefault="00943195" w:rsidP="006D6519">
      <w:pPr>
        <w:spacing w:after="0" w:line="240" w:lineRule="auto"/>
      </w:pPr>
      <w:r>
        <w:separator/>
      </w:r>
    </w:p>
  </w:footnote>
  <w:footnote w:type="continuationSeparator" w:id="0">
    <w:p w14:paraId="51C425CB" w14:textId="77777777" w:rsidR="00943195" w:rsidRDefault="00943195" w:rsidP="006D6519">
      <w:pPr>
        <w:spacing w:after="0" w:line="240" w:lineRule="auto"/>
      </w:pPr>
      <w:r>
        <w:continuationSeparator/>
      </w:r>
    </w:p>
  </w:footnote>
  <w:footnote w:id="1">
    <w:p w14:paraId="0AC77E3B" w14:textId="43EF0439" w:rsidR="00995939" w:rsidRPr="00995939" w:rsidRDefault="00995939">
      <w:pPr>
        <w:pStyle w:val="a3"/>
        <w:rPr>
          <w:rFonts w:ascii="David" w:hAnsi="David" w:cs="David"/>
          <w:sz w:val="24"/>
          <w:szCs w:val="24"/>
          <w:rtl/>
        </w:rPr>
      </w:pPr>
      <w:r>
        <w:rPr>
          <w:rStyle w:val="a5"/>
        </w:rPr>
        <w:footnoteRef/>
      </w:r>
      <w:r>
        <w:rPr>
          <w:rtl/>
        </w:rPr>
        <w:t xml:space="preserve"> </w:t>
      </w:r>
      <w:r w:rsidRPr="00995939">
        <w:rPr>
          <w:rFonts w:ascii="David" w:hAnsi="David" w:cs="David"/>
          <w:sz w:val="24"/>
          <w:szCs w:val="24"/>
          <w:rtl/>
        </w:rPr>
        <w:t xml:space="preserve">ואתה צריך לדמות בדעתך כאילו מונח לפניך מאזניים, כאשר כף אחת היא של זכות </w:t>
      </w:r>
      <w:proofErr w:type="spellStart"/>
      <w:r w:rsidRPr="00995939">
        <w:rPr>
          <w:rFonts w:ascii="David" w:hAnsi="David" w:cs="David"/>
          <w:sz w:val="24"/>
          <w:szCs w:val="24"/>
          <w:rtl/>
        </w:rPr>
        <w:t>והשניה</w:t>
      </w:r>
      <w:proofErr w:type="spellEnd"/>
      <w:r w:rsidRPr="00995939">
        <w:rPr>
          <w:rFonts w:ascii="David" w:hAnsi="David" w:cs="David"/>
          <w:sz w:val="24"/>
          <w:szCs w:val="24"/>
          <w:rtl/>
        </w:rPr>
        <w:t xml:space="preserve"> של חובה, ואתה מכריע </w:t>
      </w:r>
      <w:r w:rsidRPr="00995939">
        <w:rPr>
          <w:rFonts w:ascii="David" w:hAnsi="David" w:cs="David"/>
          <w:b/>
          <w:bCs/>
          <w:sz w:val="24"/>
          <w:szCs w:val="24"/>
          <w:rtl/>
        </w:rPr>
        <w:t>לכף</w:t>
      </w:r>
      <w:r w:rsidRPr="00995939">
        <w:rPr>
          <w:rFonts w:ascii="David" w:hAnsi="David" w:cs="David"/>
          <w:sz w:val="24"/>
          <w:szCs w:val="24"/>
          <w:rtl/>
        </w:rPr>
        <w:t xml:space="preserve"> של זכות. זו הכוונה לדון </w:t>
      </w:r>
      <w:r w:rsidRPr="00995939">
        <w:rPr>
          <w:rFonts w:ascii="David" w:hAnsi="David" w:cs="David"/>
          <w:b/>
          <w:bCs/>
          <w:sz w:val="24"/>
          <w:szCs w:val="24"/>
          <w:rtl/>
        </w:rPr>
        <w:t>לכף</w:t>
      </w:r>
      <w:r w:rsidRPr="00995939">
        <w:rPr>
          <w:rFonts w:ascii="David" w:hAnsi="David" w:cs="David"/>
          <w:sz w:val="24"/>
          <w:szCs w:val="24"/>
          <w:rtl/>
        </w:rPr>
        <w:t xml:space="preserve"> זכות.</w:t>
      </w:r>
    </w:p>
  </w:footnote>
  <w:footnote w:id="2">
    <w:p w14:paraId="0AAC68AB" w14:textId="77777777" w:rsidR="00995939" w:rsidRPr="00995939" w:rsidRDefault="00995939" w:rsidP="00995939">
      <w:pPr>
        <w:pStyle w:val="a3"/>
        <w:rPr>
          <w:rFonts w:ascii="David" w:hAnsi="David" w:cs="David"/>
          <w:sz w:val="24"/>
          <w:szCs w:val="24"/>
        </w:rPr>
      </w:pPr>
      <w:r w:rsidRPr="00995939">
        <w:rPr>
          <w:rFonts w:ascii="David" w:hAnsi="David" w:cs="David"/>
          <w:sz w:val="24"/>
          <w:szCs w:val="24"/>
        </w:rPr>
        <w:footnoteRef/>
      </w:r>
      <w:r w:rsidRPr="00995939">
        <w:rPr>
          <w:rFonts w:ascii="David" w:hAnsi="David" w:cs="David"/>
          <w:sz w:val="24"/>
          <w:szCs w:val="24"/>
          <w:rtl/>
        </w:rPr>
        <w:t xml:space="preserve"> </w:t>
      </w:r>
      <w:r w:rsidRPr="00995939">
        <w:rPr>
          <w:rFonts w:ascii="David" w:hAnsi="David" w:cs="David"/>
          <w:sz w:val="24"/>
          <w:szCs w:val="24"/>
          <w:rtl/>
        </w:rPr>
        <w:t xml:space="preserve">כך מתבאר מלשון הרמב"ם בפירושו למשנה כאן, וכך פשטות </w:t>
      </w:r>
      <w:r>
        <w:rPr>
          <w:rFonts w:ascii="David" w:hAnsi="David" w:cs="David" w:hint="cs"/>
          <w:sz w:val="24"/>
          <w:szCs w:val="24"/>
          <w:rtl/>
        </w:rPr>
        <w:t xml:space="preserve">לשון שאר </w:t>
      </w:r>
      <w:r w:rsidRPr="00995939">
        <w:rPr>
          <w:rFonts w:ascii="David" w:hAnsi="David" w:cs="David"/>
          <w:sz w:val="24"/>
          <w:szCs w:val="24"/>
          <w:rtl/>
        </w:rPr>
        <w:t>הראשונים.</w:t>
      </w:r>
    </w:p>
  </w:footnote>
  <w:footnote w:id="3">
    <w:p w14:paraId="0CA12DF9" w14:textId="3C9B1644" w:rsidR="00DF240A" w:rsidRDefault="00DF240A">
      <w:pPr>
        <w:pStyle w:val="a3"/>
        <w:rPr>
          <w:rFonts w:hint="cs"/>
          <w:rtl/>
        </w:rPr>
      </w:pPr>
      <w:r w:rsidRPr="00DF240A">
        <w:rPr>
          <w:rFonts w:ascii="David" w:hAnsi="David" w:cs="David"/>
          <w:sz w:val="24"/>
          <w:szCs w:val="24"/>
        </w:rPr>
        <w:footnoteRef/>
      </w:r>
      <w:r w:rsidRPr="00DF240A">
        <w:rPr>
          <w:rFonts w:ascii="David" w:hAnsi="David" w:cs="David"/>
          <w:sz w:val="24"/>
          <w:szCs w:val="24"/>
          <w:rtl/>
        </w:rPr>
        <w:t xml:space="preserve"> </w:t>
      </w:r>
      <w:r w:rsidRPr="00DF240A">
        <w:rPr>
          <w:rFonts w:ascii="David" w:hAnsi="David" w:cs="David" w:hint="cs"/>
          <w:sz w:val="24"/>
          <w:szCs w:val="24"/>
          <w:rtl/>
        </w:rPr>
        <w:t xml:space="preserve">ובספר יסוד ושורש העבודה (שער א פרק ז) כתב, </w:t>
      </w:r>
      <w:proofErr w:type="spellStart"/>
      <w:r w:rsidRPr="00DF240A">
        <w:rPr>
          <w:rFonts w:ascii="David" w:hAnsi="David" w:cs="David" w:hint="cs"/>
          <w:sz w:val="24"/>
          <w:szCs w:val="24"/>
          <w:rtl/>
        </w:rPr>
        <w:t>שמצוה</w:t>
      </w:r>
      <w:proofErr w:type="spellEnd"/>
      <w:r w:rsidRPr="00DF240A">
        <w:rPr>
          <w:rFonts w:ascii="David" w:hAnsi="David" w:cs="David" w:hint="cs"/>
          <w:sz w:val="24"/>
          <w:szCs w:val="24"/>
          <w:rtl/>
        </w:rPr>
        <w:t xml:space="preserve"> זו ומצות ואהבת לרעך כמוך ניתן לקיים בכל מקום</w:t>
      </w:r>
      <w:r>
        <w:rPr>
          <w:rFonts w:hint="cs"/>
          <w:rtl/>
        </w:rPr>
        <w:t xml:space="preserve"> </w:t>
      </w:r>
      <w:r w:rsidRPr="00DF240A">
        <w:rPr>
          <w:rFonts w:ascii="David" w:hAnsi="David" w:cs="David" w:hint="cs"/>
          <w:sz w:val="24"/>
          <w:szCs w:val="24"/>
          <w:rtl/>
        </w:rPr>
        <w:t>ובכל עת (ואפילו בבית המרחץ) במחשבה בלבד.</w:t>
      </w:r>
    </w:p>
  </w:footnote>
  <w:footnote w:id="4">
    <w:p w14:paraId="15BCC941" w14:textId="7C308306" w:rsidR="006D6519" w:rsidRPr="00995939" w:rsidRDefault="006D6519">
      <w:pPr>
        <w:pStyle w:val="a3"/>
        <w:rPr>
          <w:rFonts w:ascii="David" w:hAnsi="David" w:cs="David"/>
          <w:sz w:val="24"/>
          <w:szCs w:val="24"/>
          <w:rtl/>
        </w:rPr>
      </w:pPr>
      <w:r w:rsidRPr="00995939">
        <w:rPr>
          <w:rStyle w:val="a5"/>
          <w:rFonts w:ascii="David" w:hAnsi="David" w:cs="David"/>
          <w:sz w:val="24"/>
          <w:szCs w:val="24"/>
        </w:rPr>
        <w:footnoteRef/>
      </w:r>
      <w:r w:rsidRPr="00995939">
        <w:rPr>
          <w:rFonts w:ascii="David" w:hAnsi="David" w:cs="David"/>
          <w:sz w:val="24"/>
          <w:szCs w:val="24"/>
          <w:rtl/>
        </w:rPr>
        <w:t xml:space="preserve"> </w:t>
      </w:r>
      <w:r w:rsidRPr="00995939">
        <w:rPr>
          <w:rFonts w:ascii="David" w:hAnsi="David" w:cs="David"/>
          <w:sz w:val="24"/>
          <w:szCs w:val="24"/>
          <w:rtl/>
        </w:rPr>
        <w:t xml:space="preserve">כך מתבאר מדברי </w:t>
      </w:r>
      <w:proofErr w:type="spellStart"/>
      <w:r w:rsidRPr="00995939">
        <w:rPr>
          <w:rFonts w:ascii="David" w:hAnsi="David" w:cs="David"/>
          <w:sz w:val="24"/>
          <w:szCs w:val="24"/>
          <w:rtl/>
        </w:rPr>
        <w:t>המלבי"ם</w:t>
      </w:r>
      <w:proofErr w:type="spellEnd"/>
      <w:r w:rsidRPr="00995939">
        <w:rPr>
          <w:rFonts w:ascii="David" w:hAnsi="David" w:cs="David"/>
          <w:sz w:val="24"/>
          <w:szCs w:val="24"/>
          <w:rtl/>
        </w:rPr>
        <w:t xml:space="preserve"> על פסוק זה.</w:t>
      </w:r>
    </w:p>
  </w:footnote>
  <w:footnote w:id="5">
    <w:p w14:paraId="416B322D" w14:textId="4AA07B43" w:rsidR="00FD0250" w:rsidRPr="00995939" w:rsidRDefault="00FD0250">
      <w:pPr>
        <w:pStyle w:val="a3"/>
        <w:rPr>
          <w:rFonts w:ascii="David" w:hAnsi="David" w:cs="David"/>
          <w:sz w:val="24"/>
          <w:szCs w:val="24"/>
          <w:rtl/>
        </w:rPr>
      </w:pPr>
      <w:r w:rsidRPr="00995939">
        <w:rPr>
          <w:rStyle w:val="a5"/>
          <w:rFonts w:ascii="David" w:hAnsi="David" w:cs="David"/>
          <w:sz w:val="24"/>
          <w:szCs w:val="24"/>
        </w:rPr>
        <w:footnoteRef/>
      </w:r>
      <w:r w:rsidRPr="00995939">
        <w:rPr>
          <w:rFonts w:ascii="David" w:hAnsi="David" w:cs="David"/>
          <w:sz w:val="24"/>
          <w:szCs w:val="24"/>
          <w:rtl/>
        </w:rPr>
        <w:t xml:space="preserve"> </w:t>
      </w:r>
      <w:r w:rsidRPr="00995939">
        <w:rPr>
          <w:rFonts w:ascii="David" w:hAnsi="David" w:cs="David"/>
          <w:sz w:val="24"/>
          <w:szCs w:val="24"/>
          <w:rtl/>
        </w:rPr>
        <w:t>ומנו אותה הראשונים במניין המצוות.</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07"/>
    <w:rsid w:val="001853CB"/>
    <w:rsid w:val="0028115B"/>
    <w:rsid w:val="00385D8B"/>
    <w:rsid w:val="003C6BB9"/>
    <w:rsid w:val="006D6519"/>
    <w:rsid w:val="00943195"/>
    <w:rsid w:val="00995939"/>
    <w:rsid w:val="009A700F"/>
    <w:rsid w:val="00A2155A"/>
    <w:rsid w:val="00CA7E12"/>
    <w:rsid w:val="00CF4A72"/>
    <w:rsid w:val="00DF240A"/>
    <w:rsid w:val="00E14307"/>
    <w:rsid w:val="00FD0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F34D5"/>
  <w15:chartTrackingRefBased/>
  <w15:docId w15:val="{78A3EAE1-18A2-4649-9659-53EFD0AD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307"/>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D6519"/>
    <w:pPr>
      <w:spacing w:after="0" w:line="240" w:lineRule="auto"/>
    </w:pPr>
    <w:rPr>
      <w:sz w:val="20"/>
      <w:szCs w:val="20"/>
    </w:rPr>
  </w:style>
  <w:style w:type="character" w:customStyle="1" w:styleId="a4">
    <w:name w:val="טקסט הערת שוליים תו"/>
    <w:basedOn w:val="a0"/>
    <w:link w:val="a3"/>
    <w:uiPriority w:val="99"/>
    <w:semiHidden/>
    <w:rsid w:val="006D6519"/>
    <w:rPr>
      <w:sz w:val="20"/>
      <w:szCs w:val="20"/>
    </w:rPr>
  </w:style>
  <w:style w:type="character" w:styleId="a5">
    <w:name w:val="footnote reference"/>
    <w:basedOn w:val="a0"/>
    <w:uiPriority w:val="99"/>
    <w:semiHidden/>
    <w:unhideWhenUsed/>
    <w:rsid w:val="006D65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4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312</Words>
  <Characters>1562</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2023-07-01T18:39:00Z</dcterms:created>
  <dcterms:modified xsi:type="dcterms:W3CDTF">2023-07-01T21:15:00Z</dcterms:modified>
</cp:coreProperties>
</file>