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3B720C" w14:textId="74484F9A" w:rsidR="00334B16" w:rsidRDefault="00334B16" w:rsidP="00334B16">
      <w:pPr>
        <w:spacing w:line="259" w:lineRule="auto"/>
        <w:jc w:val="center"/>
        <w:rPr>
          <w:rFonts w:ascii="Calibri" w:eastAsia="Calibri" w:hAnsi="Calibri" w:cs="PFT_Frank"/>
          <w:sz w:val="22"/>
          <w:szCs w:val="22"/>
          <w:rtl/>
        </w:rPr>
      </w:pPr>
      <w:r>
        <w:rPr>
          <w:rFonts w:ascii="Calibri" w:eastAsia="Calibri" w:hAnsi="Calibri" w:cs="PFT_Frank" w:hint="cs"/>
          <w:sz w:val="22"/>
          <w:szCs w:val="22"/>
          <w:rtl/>
        </w:rPr>
        <w:t>מילואים</w:t>
      </w:r>
    </w:p>
    <w:p w14:paraId="61C75367" w14:textId="4742E6A9" w:rsidR="00F62689" w:rsidRPr="00F62689" w:rsidRDefault="00F62689" w:rsidP="00334B16">
      <w:pPr>
        <w:spacing w:line="259" w:lineRule="auto"/>
        <w:jc w:val="center"/>
        <w:rPr>
          <w:rFonts w:ascii="Calibri" w:eastAsia="Calibri" w:hAnsi="Calibri" w:cs="PFT_Frank"/>
          <w:sz w:val="36"/>
          <w:szCs w:val="36"/>
          <w:rtl/>
        </w:rPr>
      </w:pPr>
      <w:r w:rsidRPr="00F62689">
        <w:rPr>
          <w:rFonts w:ascii="Calibri" w:eastAsia="Calibri" w:hAnsi="Calibri" w:cs="PFT_Frank" w:hint="cs"/>
          <w:sz w:val="36"/>
          <w:szCs w:val="36"/>
          <w:rtl/>
        </w:rPr>
        <w:t>-א-</w:t>
      </w:r>
    </w:p>
    <w:p w14:paraId="7BFEAD39" w14:textId="0B3094C0" w:rsidR="00334B16" w:rsidRPr="00334B16" w:rsidRDefault="00334B16" w:rsidP="00334B16">
      <w:pPr>
        <w:spacing w:line="259" w:lineRule="auto"/>
        <w:jc w:val="center"/>
        <w:rPr>
          <w:rFonts w:ascii="Calibri" w:eastAsia="Calibri" w:hAnsi="Calibri" w:cs="PFT_Frank"/>
          <w:b/>
          <w:bCs/>
          <w:sz w:val="26"/>
          <w:szCs w:val="26"/>
          <w:rtl/>
        </w:rPr>
      </w:pPr>
      <w:r w:rsidRPr="00F73792">
        <w:rPr>
          <w:rFonts w:ascii="Calibri" w:eastAsia="Calibri" w:hAnsi="Calibri" w:cs="PFT_Frank" w:hint="cs"/>
          <w:b/>
          <w:bCs/>
          <w:sz w:val="26"/>
          <w:szCs w:val="26"/>
          <w:rtl/>
        </w:rPr>
        <w:t>סוגיא דהוציאה גט (מעשה ב"ד כמאן דנקיט שטרא) - ב"מ י"ז: (כתובות פ"ח:)</w:t>
      </w:r>
    </w:p>
    <w:p w14:paraId="56933A3B" w14:textId="77777777" w:rsidR="00334B16" w:rsidRPr="00334B16" w:rsidRDefault="00334B16" w:rsidP="00AE2625">
      <w:pPr>
        <w:pStyle w:val="af6"/>
        <w:rPr>
          <w:rFonts w:eastAsia="Calibri"/>
          <w:rtl/>
        </w:rPr>
      </w:pPr>
      <w:r w:rsidRPr="00334B16">
        <w:rPr>
          <w:rFonts w:eastAsia="Calibri" w:hint="cs"/>
          <w:rtl/>
        </w:rPr>
        <w:t>סימן א'</w:t>
      </w:r>
    </w:p>
    <w:p w14:paraId="692DDDA5" w14:textId="77777777" w:rsidR="00334B16" w:rsidRPr="00334B16" w:rsidRDefault="00334B16" w:rsidP="00334B16">
      <w:pPr>
        <w:spacing w:line="259" w:lineRule="auto"/>
        <w:jc w:val="center"/>
        <w:rPr>
          <w:rFonts w:ascii="Calibri" w:eastAsia="Calibri" w:hAnsi="Calibri" w:cs="PFT_Frank"/>
          <w:sz w:val="22"/>
          <w:szCs w:val="22"/>
          <w:rtl/>
        </w:rPr>
      </w:pPr>
      <w:r w:rsidRPr="00334B16">
        <w:rPr>
          <w:rFonts w:ascii="Calibri" w:eastAsia="Calibri" w:hAnsi="Calibri" w:cs="PFT_Frank" w:hint="cs"/>
          <w:sz w:val="22"/>
          <w:szCs w:val="22"/>
          <w:rtl/>
        </w:rPr>
        <w:t>דעת רבי יהודה בדין מקנה דבר שלא בא לעולם</w:t>
      </w:r>
    </w:p>
    <w:p w14:paraId="1F9CF895" w14:textId="77777777" w:rsidR="00334B16" w:rsidRPr="00334B16" w:rsidRDefault="00334B16" w:rsidP="00334B16">
      <w:pPr>
        <w:spacing w:line="259" w:lineRule="auto"/>
        <w:rPr>
          <w:rFonts w:ascii="Calibri" w:eastAsia="Calibri" w:hAnsi="Calibri" w:cs="PFT_Frank"/>
          <w:sz w:val="22"/>
          <w:szCs w:val="22"/>
          <w:rtl/>
        </w:rPr>
      </w:pPr>
      <w:r w:rsidRPr="00334B16">
        <w:rPr>
          <w:rFonts w:ascii="Calibri" w:eastAsia="Calibri" w:hAnsi="Calibri" w:cs="PFT_Frank" w:hint="cs"/>
          <w:sz w:val="22"/>
          <w:szCs w:val="22"/>
          <w:rtl/>
        </w:rPr>
        <w:t xml:space="preserve">לשון מרן (אות א' ד"ה וידוע): </w:t>
      </w:r>
      <w:r w:rsidRPr="00334B16">
        <w:rPr>
          <w:rFonts w:ascii="Calibri" w:eastAsia="Calibri" w:hAnsi="Calibri" w:cs="PFT_Frank" w:hint="cs"/>
          <w:b/>
          <w:bCs/>
          <w:sz w:val="22"/>
          <w:szCs w:val="22"/>
          <w:rtl/>
        </w:rPr>
        <w:t>ולרבי יהודה אף על גב דסבירא ליה יחליף ואין כותבין שובר, מכל מקום מאוחרים פסולים מטעם דאקני לא משתעבד.</w:t>
      </w:r>
    </w:p>
    <w:p w14:paraId="63F92659" w14:textId="77777777" w:rsidR="00334B16" w:rsidRPr="00334B16" w:rsidRDefault="00334B16" w:rsidP="00334B16">
      <w:pPr>
        <w:pStyle w:val="2"/>
        <w:rPr>
          <w:rtl/>
        </w:rPr>
      </w:pPr>
      <w:r w:rsidRPr="00334B16">
        <w:rPr>
          <w:rFonts w:hint="cs"/>
          <w:rtl/>
        </w:rPr>
        <w:t>דין שטר מאוחר תלוי בדין 'דאיקני' ובדין 'כותבין שובר'</w:t>
      </w:r>
    </w:p>
    <w:p w14:paraId="68410357" w14:textId="77777777" w:rsidR="00334B16" w:rsidRPr="00334B16" w:rsidRDefault="00334B16" w:rsidP="00334B16">
      <w:pPr>
        <w:spacing w:line="259" w:lineRule="auto"/>
        <w:rPr>
          <w:rFonts w:ascii="Calibri" w:eastAsia="Calibri" w:hAnsi="Calibri" w:cs="PFT_Frank"/>
          <w:sz w:val="22"/>
          <w:szCs w:val="22"/>
          <w:rtl/>
        </w:rPr>
      </w:pPr>
      <w:r w:rsidRPr="00334B16">
        <w:rPr>
          <w:rFonts w:ascii="Calibri" w:eastAsia="Calibri" w:hAnsi="Calibri" w:cs="PFT_Frank" w:hint="cs"/>
          <w:sz w:val="22"/>
          <w:szCs w:val="22"/>
          <w:rtl/>
        </w:rPr>
        <w:t>א. איתא בב"ב (קנ"ז.), המלוה את חבירו בשטר גובה מנכסים משועבדים וכו</w:t>
      </w:r>
      <w:r w:rsidRPr="00334B16">
        <w:rPr>
          <w:rFonts w:ascii="Calibri" w:eastAsia="Calibri" w:hAnsi="Calibri" w:cs="PFT_Frank"/>
          <w:sz w:val="22"/>
          <w:szCs w:val="22"/>
          <w:rtl/>
        </w:rPr>
        <w:t>'</w:t>
      </w:r>
      <w:r w:rsidRPr="00334B16">
        <w:rPr>
          <w:rFonts w:ascii="Calibri" w:eastAsia="Calibri" w:hAnsi="Calibri" w:cs="PFT_Frank" w:hint="cs"/>
          <w:sz w:val="22"/>
          <w:szCs w:val="22"/>
          <w:rtl/>
        </w:rPr>
        <w:t>, בעי שמואל דאיקני וקנה מהו [ברשב"ם: הכותב לחבירו משעבד אני לי בחובך כל נכסים שאקנה וכו</w:t>
      </w:r>
      <w:r w:rsidRPr="00334B16">
        <w:rPr>
          <w:rFonts w:ascii="Calibri" w:eastAsia="Calibri" w:hAnsi="Calibri" w:cs="PFT_Frank"/>
          <w:sz w:val="22"/>
          <w:szCs w:val="22"/>
          <w:rtl/>
        </w:rPr>
        <w:t>'</w:t>
      </w:r>
      <w:r w:rsidRPr="00334B16">
        <w:rPr>
          <w:rFonts w:ascii="Calibri" w:eastAsia="Calibri" w:hAnsi="Calibri" w:cs="PFT_Frank" w:hint="cs"/>
          <w:sz w:val="22"/>
          <w:szCs w:val="22"/>
          <w:rtl/>
        </w:rPr>
        <w:t>, מי טריף מלקוחות נכסים שקנה הלוה אחר כתיבת השטר ומכרן לאלו], אליבא דר' מאיר דאמר אדם מקנה דבר שלא בא לעולם לא תיבעי לך דודאי קנה, כי תיבעי לך אליבא דרבנן דאמרי א"א מקנה דבר שלב"ל וכו</w:t>
      </w:r>
      <w:r w:rsidRPr="00334B16">
        <w:rPr>
          <w:rFonts w:ascii="Calibri" w:eastAsia="Calibri" w:hAnsi="Calibri" w:cs="PFT_Frank"/>
          <w:sz w:val="22"/>
          <w:szCs w:val="22"/>
          <w:rtl/>
        </w:rPr>
        <w:t>'</w:t>
      </w:r>
      <w:r w:rsidRPr="00334B16">
        <w:rPr>
          <w:rFonts w:ascii="Calibri" w:eastAsia="Calibri" w:hAnsi="Calibri" w:cs="PFT_Frank" w:hint="cs"/>
          <w:sz w:val="22"/>
          <w:szCs w:val="22"/>
          <w:rtl/>
        </w:rPr>
        <w:t>. תא שמע, שטרי חוב המוקדמים פסולין והמאוחרין כשרין, ואי סלקא דעתך דאיקני קנה ומכר דאיקני קנה והוריש לא משתעבד, מאוחרין אמאי כשרין דאיקני הוא, הא מני ר"מ היא דאמר אדם מקנה דבר שלב"ל, ע"כ.</w:t>
      </w:r>
    </w:p>
    <w:p w14:paraId="212A06BC" w14:textId="77777777" w:rsidR="00334B16" w:rsidRPr="00334B16" w:rsidRDefault="00334B16" w:rsidP="00334B16">
      <w:pPr>
        <w:spacing w:line="259" w:lineRule="auto"/>
        <w:rPr>
          <w:rFonts w:ascii="Calibri" w:eastAsia="Calibri" w:hAnsi="Calibri" w:cs="PFT_Frank"/>
          <w:sz w:val="22"/>
          <w:szCs w:val="22"/>
          <w:rtl/>
        </w:rPr>
      </w:pPr>
      <w:r w:rsidRPr="00334B16">
        <w:rPr>
          <w:rFonts w:ascii="Calibri" w:eastAsia="Calibri" w:hAnsi="Calibri" w:cs="PFT_Frank" w:hint="cs"/>
          <w:sz w:val="22"/>
          <w:szCs w:val="22"/>
          <w:rtl/>
        </w:rPr>
        <w:t>ולהלן שם (קע"א:) אמרינן דמאן דס"ל שטר מאוחר כשר, ע"כ סבירא ליה דאין הלוה חייב לכתוב שובר למלוה, דאל"ה נפיק מינה חורבא שיאמר המלוה שהשטר שבידו הוא מהלואה אחרת שהלוהו לאחר הזמן שבשובר, ויטרוף שנית מן הלוה שלא כדין.</w:t>
      </w:r>
    </w:p>
    <w:p w14:paraId="645123E0" w14:textId="77777777" w:rsidR="00334B16" w:rsidRPr="00334B16" w:rsidRDefault="00334B16" w:rsidP="00334B16">
      <w:pPr>
        <w:pStyle w:val="2"/>
        <w:rPr>
          <w:rtl/>
        </w:rPr>
      </w:pPr>
      <w:r w:rsidRPr="00334B16">
        <w:rPr>
          <w:rFonts w:hint="cs"/>
          <w:rtl/>
        </w:rPr>
        <w:t>דברי מרן דר' יהודה ס"ל אין אדם מקנה דבר שלב"ל</w:t>
      </w:r>
    </w:p>
    <w:p w14:paraId="17DA3074" w14:textId="77777777" w:rsidR="00334B16" w:rsidRPr="00334B16" w:rsidRDefault="00334B16" w:rsidP="00334B16">
      <w:pPr>
        <w:spacing w:line="259" w:lineRule="auto"/>
        <w:rPr>
          <w:rFonts w:ascii="Calibri" w:eastAsia="Calibri" w:hAnsi="Calibri" w:cs="PFT_Frank"/>
          <w:sz w:val="22"/>
          <w:szCs w:val="22"/>
          <w:rtl/>
        </w:rPr>
      </w:pPr>
      <w:r w:rsidRPr="00334B16">
        <w:rPr>
          <w:rFonts w:ascii="Calibri" w:eastAsia="Calibri" w:hAnsi="Calibri" w:cs="PFT_Frank" w:hint="cs"/>
          <w:sz w:val="22"/>
          <w:szCs w:val="22"/>
          <w:rtl/>
        </w:rPr>
        <w:t>ב. וכתב בזה מרן, דאליבא דר' יהודה, נהי דסבר (שם ק"ע:) דאין כותבין שובר, מ"מ להך גיסא דדאיקני לא מהני סבר דשטר מאוחר פסול משום שלא נשתעבדו לו הנכסים שיקנה לאחמ"כ, והיינו דפשיטא ליה למרן בדעת ר' יהודה דס"ל אין אדם מקנה דבר שלא בא לעולם. וכ"כ מרן בחידושי מגילה (ו': ד"ה והנה) דבאופן דלא מהני דאיקני, ס"ל לר' יהודה דבכה"ג שטר מאוחר פסול, ומשום דס"ל אין אדם מקנה דבר שלא בא לעולם, עיי"ש.</w:t>
      </w:r>
    </w:p>
    <w:p w14:paraId="28819115" w14:textId="77777777" w:rsidR="00334B16" w:rsidRPr="00334B16" w:rsidRDefault="00334B16" w:rsidP="00334B16">
      <w:pPr>
        <w:spacing w:line="259" w:lineRule="auto"/>
        <w:rPr>
          <w:rFonts w:ascii="Calibri" w:eastAsia="Calibri" w:hAnsi="Calibri" w:cs="PFT_Frank"/>
          <w:sz w:val="22"/>
          <w:szCs w:val="22"/>
          <w:rtl/>
        </w:rPr>
      </w:pPr>
      <w:r w:rsidRPr="00334B16">
        <w:rPr>
          <w:rFonts w:ascii="Calibri" w:eastAsia="Calibri" w:hAnsi="Calibri" w:cs="PFT_Frank" w:hint="cs"/>
          <w:sz w:val="22"/>
          <w:szCs w:val="22"/>
          <w:rtl/>
        </w:rPr>
        <w:t>והא דאמרינן דר' יהודה ס"ל אין אדם מקנה דשלב"ל, דבר זה לא נתפרש בדברי ר' יהודה להדיא, אלא דהכי נקטו מיהא בדעתו קמאי ובתראי, ולהלן נציין בעז"ה כמה טעמים שנתפרשו בזה, ומה שיש לדון בהם.</w:t>
      </w:r>
    </w:p>
    <w:p w14:paraId="0DA79C49" w14:textId="77777777" w:rsidR="00334B16" w:rsidRPr="00334B16" w:rsidRDefault="00334B16" w:rsidP="00334B16">
      <w:pPr>
        <w:pStyle w:val="2"/>
        <w:rPr>
          <w:rtl/>
        </w:rPr>
      </w:pPr>
      <w:r w:rsidRPr="00334B16">
        <w:rPr>
          <w:rFonts w:hint="cs"/>
          <w:rtl/>
        </w:rPr>
        <w:t>ר' יהודה הוא סתם בר פלוגתא דר' מאיר</w:t>
      </w:r>
    </w:p>
    <w:p w14:paraId="72236532" w14:textId="77777777" w:rsidR="00334B16" w:rsidRPr="00334B16" w:rsidRDefault="00334B16" w:rsidP="00334B16">
      <w:pPr>
        <w:spacing w:line="259" w:lineRule="auto"/>
        <w:rPr>
          <w:rFonts w:ascii="Calibri" w:eastAsia="Calibri" w:hAnsi="Calibri" w:cs="PFT_Frank"/>
          <w:sz w:val="22"/>
          <w:szCs w:val="22"/>
          <w:rtl/>
        </w:rPr>
      </w:pPr>
      <w:r w:rsidRPr="00334B16">
        <w:rPr>
          <w:rFonts w:ascii="Calibri" w:eastAsia="Calibri" w:hAnsi="Calibri" w:cs="PFT_Frank" w:hint="cs"/>
          <w:sz w:val="22"/>
          <w:szCs w:val="22"/>
          <w:rtl/>
        </w:rPr>
        <w:lastRenderedPageBreak/>
        <w:t>ג. טעם ראשון הוא, מדנקטינן כללא דסתם בר פלוגתיה דר' מאיר היינו ר' יהודה, וציינו מרן בקונטרס כללי הש"ס (אות ח')</w:t>
      </w:r>
      <w:r w:rsidRPr="00334B16">
        <w:rPr>
          <w:rFonts w:ascii="Calibri" w:eastAsia="Calibri" w:hAnsi="Calibri" w:cs="PFT_Frank"/>
          <w:sz w:val="22"/>
          <w:szCs w:val="22"/>
          <w:vertAlign w:val="superscript"/>
          <w:rtl/>
        </w:rPr>
        <w:footnoteReference w:id="2"/>
      </w:r>
      <w:r w:rsidRPr="00334B16">
        <w:rPr>
          <w:rFonts w:ascii="Calibri" w:eastAsia="Calibri" w:hAnsi="Calibri" w:cs="PFT_Frank" w:hint="cs"/>
          <w:sz w:val="22"/>
          <w:szCs w:val="22"/>
          <w:rtl/>
        </w:rPr>
        <w:t>. ומהאי טעמא אית לן למימר דחכמים דפליגי אדר"מ דאמר אדם מקנה דשלב"ל, היינו ר' יהודה בר פלוגתיה, וכ"כ במצפה איתן (ב"ב קנ"ז:) וכ"מ בתומים (סי' קי"ב סק"א).</w:t>
      </w:r>
    </w:p>
    <w:p w14:paraId="52EE36B5" w14:textId="77777777" w:rsidR="00334B16" w:rsidRPr="00334B16" w:rsidRDefault="00334B16" w:rsidP="00334B16">
      <w:pPr>
        <w:spacing w:line="259" w:lineRule="auto"/>
        <w:rPr>
          <w:rFonts w:ascii="Calibri" w:eastAsia="Calibri" w:hAnsi="Calibri" w:cs="PFT_Frank"/>
          <w:sz w:val="22"/>
          <w:szCs w:val="22"/>
          <w:rtl/>
        </w:rPr>
      </w:pPr>
      <w:r w:rsidRPr="00334B16">
        <w:rPr>
          <w:rFonts w:ascii="Calibri" w:eastAsia="Calibri" w:hAnsi="Calibri" w:cs="PFT_Frank" w:hint="cs"/>
          <w:sz w:val="22"/>
          <w:szCs w:val="22"/>
          <w:rtl/>
        </w:rPr>
        <w:t>ומכל מקום אין זה הכרח גמור בדעת ר' יהודה, דהא לא נקטינן הכי אלא על דרך הכלל, אבל עדיין אפשר לומר דהאי תנא דפליג אדר' מאיר תנא אחרינא הוא, וכדאשכחן נמי כה"ג בדברי הריטב"א (ב"מ צ"ד. ד"ה אתאן) עיי"ש</w:t>
      </w:r>
      <w:r w:rsidRPr="00334B16">
        <w:rPr>
          <w:rFonts w:ascii="Calibri" w:eastAsia="Calibri" w:hAnsi="Calibri" w:cs="PFT_Frank"/>
          <w:sz w:val="22"/>
          <w:szCs w:val="22"/>
          <w:vertAlign w:val="superscript"/>
          <w:rtl/>
        </w:rPr>
        <w:footnoteReference w:id="3"/>
      </w:r>
      <w:r w:rsidRPr="00334B16">
        <w:rPr>
          <w:rFonts w:ascii="Calibri" w:eastAsia="Calibri" w:hAnsi="Calibri" w:cs="PFT_Frank" w:hint="cs"/>
          <w:sz w:val="22"/>
          <w:szCs w:val="22"/>
          <w:rtl/>
        </w:rPr>
        <w:t>.</w:t>
      </w:r>
    </w:p>
    <w:p w14:paraId="17B5AE39" w14:textId="77777777" w:rsidR="00334B16" w:rsidRPr="00334B16" w:rsidRDefault="00334B16" w:rsidP="00334B16">
      <w:pPr>
        <w:pStyle w:val="2"/>
        <w:rPr>
          <w:rtl/>
        </w:rPr>
      </w:pPr>
      <w:r w:rsidRPr="00334B16">
        <w:rPr>
          <w:rFonts w:hint="cs"/>
          <w:rtl/>
        </w:rPr>
        <w:t>הטעם שלא נמנה ר' יהודה בין הני דסברי אדם מקנה דשלב"ל</w:t>
      </w:r>
    </w:p>
    <w:p w14:paraId="2FE98CD6" w14:textId="77777777" w:rsidR="00334B16" w:rsidRPr="00334B16" w:rsidRDefault="00334B16" w:rsidP="00334B16">
      <w:pPr>
        <w:spacing w:line="259" w:lineRule="auto"/>
        <w:rPr>
          <w:rFonts w:ascii="Calibri" w:eastAsia="Calibri" w:hAnsi="Calibri" w:cs="PFT_Frank"/>
          <w:sz w:val="22"/>
          <w:szCs w:val="22"/>
          <w:rtl/>
        </w:rPr>
      </w:pPr>
      <w:r w:rsidRPr="00334B16">
        <w:rPr>
          <w:rFonts w:ascii="Calibri" w:eastAsia="Calibri" w:hAnsi="Calibri" w:cs="PFT_Frank" w:hint="cs"/>
          <w:sz w:val="22"/>
          <w:szCs w:val="22"/>
          <w:rtl/>
        </w:rPr>
        <w:t xml:space="preserve">ד. טעם שני נאמר בזה, דבקידושין ס"ב: מונה אביי שמות אותם התנאים דס"ל אדם מקנה דבר שלא בא לעולם (ועיין יבמות צ"ג.), ואי הוה ס"ל לר' יהודה אדם מקנה דשלב"ל הו"ל לאביי למנותו ביניהם, כדפריך התם </w:t>
      </w:r>
      <w:r w:rsidRPr="00334B16">
        <w:rPr>
          <w:rFonts w:ascii="Calibri" w:eastAsia="Calibri" w:hAnsi="Calibri" w:cs="PFT_Frank"/>
          <w:sz w:val="22"/>
          <w:szCs w:val="22"/>
          <w:rtl/>
        </w:rPr>
        <w:t>ונחשוב נמי רבי יהודה הנשיא וכו' ונחשוב נמי רבי עקיב</w:t>
      </w:r>
      <w:r w:rsidRPr="00334B16">
        <w:rPr>
          <w:rFonts w:ascii="Calibri" w:eastAsia="Calibri" w:hAnsi="Calibri" w:cs="PFT_Frank" w:hint="cs"/>
          <w:sz w:val="22"/>
          <w:szCs w:val="22"/>
          <w:rtl/>
        </w:rPr>
        <w:t>א וכו</w:t>
      </w:r>
      <w:r w:rsidRPr="00334B16">
        <w:rPr>
          <w:rFonts w:ascii="Calibri" w:eastAsia="Calibri" w:hAnsi="Calibri" w:cs="PFT_Frank"/>
          <w:sz w:val="22"/>
          <w:szCs w:val="22"/>
          <w:rtl/>
        </w:rPr>
        <w:t>'</w:t>
      </w:r>
      <w:r w:rsidRPr="00334B16">
        <w:rPr>
          <w:rFonts w:ascii="Calibri" w:eastAsia="Calibri" w:hAnsi="Calibri" w:cs="PFT_Frank" w:hint="cs"/>
          <w:sz w:val="22"/>
          <w:szCs w:val="22"/>
          <w:rtl/>
        </w:rPr>
        <w:t>, ומדלא מנה ליה התם ש"מ דס"ל אין אדם מקנה דשלב"ל, וכ"כ במצפה איתן (שם) ובנחלת יהושע (ח"ב אבל כבד ט': ד"ה וא"כ).</w:t>
      </w:r>
    </w:p>
    <w:p w14:paraId="2DCCB633" w14:textId="17498C2B" w:rsidR="00334B16" w:rsidRPr="00334B16" w:rsidRDefault="00334B16" w:rsidP="00334B16">
      <w:pPr>
        <w:spacing w:line="259" w:lineRule="auto"/>
        <w:rPr>
          <w:rFonts w:ascii="Calibri" w:eastAsia="Calibri" w:hAnsi="Calibri" w:cs="PFT_Frank"/>
          <w:sz w:val="22"/>
          <w:szCs w:val="22"/>
          <w:rtl/>
        </w:rPr>
      </w:pPr>
      <w:r w:rsidRPr="00334B16">
        <w:rPr>
          <w:rFonts w:ascii="Calibri" w:eastAsia="Calibri" w:hAnsi="Calibri" w:cs="PFT_Frank" w:hint="cs"/>
          <w:sz w:val="22"/>
          <w:szCs w:val="22"/>
          <w:rtl/>
        </w:rPr>
        <w:t xml:space="preserve">אמנם יעויין בדברי התוס' בב"ב (ע"ט. ד"ה ור"א) שהקשו כעי"ז גבי ר' אלעזר ב"ר שמעון דס"ל התם דאדם מקנה דשלב"ל, ותירצו דדוקא גבי רבי ור"ע הוקשה לגמ' בקידושין דלימנינהו, יעו"ש הטעם, ולפי זה שוב אין להוכיח מהתם לגבי ר' יהודה. ועוד יש לציין דברי התוס' שם ע"ו: (ד"ה ומר סבר) דמשמע דכל היכא דאיכא למידחי לא מנינא ליה, יעו"ש, וא"כ גם הכא איכא למימר דכיון דלא נתפרש לנו להדיא דעתו דר' יהודה (ע"ע להלן סימן ב' אות </w:t>
      </w:r>
      <w:r w:rsidR="00BF4E4A">
        <w:rPr>
          <w:rFonts w:ascii="Calibri" w:eastAsia="Calibri" w:hAnsi="Calibri" w:cs="PFT_Frank" w:hint="cs"/>
          <w:sz w:val="22"/>
          <w:szCs w:val="22"/>
          <w:rtl/>
        </w:rPr>
        <w:t>ג',ד'</w:t>
      </w:r>
      <w:r w:rsidRPr="00334B16">
        <w:rPr>
          <w:rFonts w:ascii="Calibri" w:eastAsia="Calibri" w:hAnsi="Calibri" w:cs="PFT_Frank" w:hint="cs"/>
          <w:sz w:val="22"/>
          <w:szCs w:val="22"/>
          <w:rtl/>
        </w:rPr>
        <w:t>), לכך לא מני ליה אביי התם</w:t>
      </w:r>
      <w:r w:rsidRPr="00334B16">
        <w:rPr>
          <w:rFonts w:ascii="Calibri" w:eastAsia="Calibri" w:hAnsi="Calibri" w:cs="PFT_Frank"/>
          <w:sz w:val="22"/>
          <w:szCs w:val="22"/>
          <w:vertAlign w:val="superscript"/>
          <w:rtl/>
        </w:rPr>
        <w:footnoteReference w:id="4"/>
      </w:r>
      <w:r w:rsidRPr="00334B16">
        <w:rPr>
          <w:rFonts w:ascii="Calibri" w:eastAsia="Calibri" w:hAnsi="Calibri" w:cs="PFT_Frank" w:hint="cs"/>
          <w:sz w:val="22"/>
          <w:szCs w:val="22"/>
          <w:rtl/>
        </w:rPr>
        <w:t>.</w:t>
      </w:r>
    </w:p>
    <w:p w14:paraId="21768ECE" w14:textId="77777777" w:rsidR="00334B16" w:rsidRPr="00334B16" w:rsidRDefault="00334B16" w:rsidP="00334B16">
      <w:pPr>
        <w:pStyle w:val="2"/>
        <w:rPr>
          <w:rtl/>
        </w:rPr>
      </w:pPr>
      <w:r w:rsidRPr="00334B16">
        <w:rPr>
          <w:rFonts w:hint="cs"/>
          <w:rtl/>
        </w:rPr>
        <w:t>טעמיה דר' יהודה במקדיש בור ואח"כ נתמלא מים</w:t>
      </w:r>
    </w:p>
    <w:p w14:paraId="5C514B3A" w14:textId="77777777" w:rsidR="00334B16" w:rsidRPr="00334B16" w:rsidRDefault="00334B16" w:rsidP="00334B16">
      <w:pPr>
        <w:spacing w:line="259" w:lineRule="auto"/>
        <w:rPr>
          <w:rFonts w:ascii="Calibri" w:eastAsia="Calibri" w:hAnsi="Calibri" w:cs="PFT_Frank"/>
          <w:sz w:val="22"/>
          <w:szCs w:val="22"/>
          <w:rtl/>
        </w:rPr>
      </w:pPr>
      <w:r w:rsidRPr="00334B16">
        <w:rPr>
          <w:rFonts w:ascii="Calibri" w:eastAsia="Calibri" w:hAnsi="Calibri" w:cs="PFT_Frank" w:hint="cs"/>
          <w:sz w:val="22"/>
          <w:szCs w:val="22"/>
          <w:rtl/>
        </w:rPr>
        <w:t>ה. טעם שלישי לומר דר' יהודה ס"ל א"א מקנה דשלב"ל, נתפרש בראבי"ה (סי' אלף כ"ד) מתשובת רבינו שמחה ב"ר שמואל, דהנה בב"ב ע"ט. קאמר ר' יהודה הקדיש בור ואח"כ נתמלא מים וכו</w:t>
      </w:r>
      <w:r w:rsidRPr="00334B16">
        <w:rPr>
          <w:rFonts w:ascii="Calibri" w:eastAsia="Calibri" w:hAnsi="Calibri" w:cs="PFT_Frank"/>
          <w:sz w:val="22"/>
          <w:szCs w:val="22"/>
          <w:rtl/>
        </w:rPr>
        <w:t>'</w:t>
      </w:r>
      <w:r w:rsidRPr="00334B16">
        <w:rPr>
          <w:rFonts w:ascii="Calibri" w:eastAsia="Calibri" w:hAnsi="Calibri" w:cs="PFT_Frank" w:hint="cs"/>
          <w:sz w:val="22"/>
          <w:szCs w:val="22"/>
          <w:rtl/>
        </w:rPr>
        <w:t xml:space="preserve"> מועלין בהן ואין מועלין במה שבתוכן, ובגמ' שם מייתי דנחלקו בזה ת"ק ור"א ברבי שמעון, לת"ק מועלין במה שבתוכן ולראב"ש אין מועלין, ומפרש שם דנחלקו בדר' מאיר, ת"ק סבר כרבנן דא"א </w:t>
      </w:r>
      <w:r w:rsidRPr="00334B16">
        <w:rPr>
          <w:rFonts w:ascii="Calibri" w:eastAsia="Calibri" w:hAnsi="Calibri" w:cs="PFT_Frank" w:hint="cs"/>
          <w:sz w:val="22"/>
          <w:szCs w:val="22"/>
          <w:rtl/>
        </w:rPr>
        <w:lastRenderedPageBreak/>
        <w:t>קנה דשלב"ל, וראב"ש סבר כר"מ דאדם מקנה דשלב"ל. ומעתה, מת"ק דראב"ש נשמע לר' יהודה, דהא איהו נמי קאמר דאין מועלין במים שבאו לאחר מכן, והיינו משום דא"א מקנה דשלב"ל.</w:t>
      </w:r>
    </w:p>
    <w:p w14:paraId="35BFDA78" w14:textId="77777777" w:rsidR="00334B16" w:rsidRPr="00334B16" w:rsidRDefault="00334B16" w:rsidP="00334B16">
      <w:pPr>
        <w:spacing w:line="259" w:lineRule="auto"/>
        <w:rPr>
          <w:rFonts w:ascii="Calibri" w:eastAsia="Calibri" w:hAnsi="Calibri" w:cs="PFT_Frank"/>
          <w:sz w:val="22"/>
          <w:szCs w:val="22"/>
          <w:rtl/>
        </w:rPr>
      </w:pPr>
      <w:r w:rsidRPr="00334B16">
        <w:rPr>
          <w:rFonts w:ascii="Calibri" w:eastAsia="Calibri" w:hAnsi="Calibri" w:cs="PFT_Frank" w:hint="cs"/>
          <w:sz w:val="22"/>
          <w:szCs w:val="22"/>
          <w:rtl/>
        </w:rPr>
        <w:t>ומ"מ עדיין לא נתפרש שם להדיא דהיינו נמי טעמיה דר' יהודה, ויתכן לומר דדוקא בדעת ת"ק דראב"ש מפרשינן טעמיה משום דא"א מקנה דשלב"ל, אך בדעת ר"י אפשר לפרש דלעולם ס"ל אדם מקנה דשלב"ל, ומ"מ גבי בור וכדו' לא מהני לקנות מה שיבוא לאחר מכן, דהנה בתוס' (ד"ה אימור) ובראשונים שם הקשו אליבא דראב"ש נהי דמקנה דשלב"ל, מ"מ כיון שהקדיש הבור ויצא מרשותו האיך זוכה אח"כ במים לזכותו להקדש, ופירשו בזה ראשונים ואחרונים בכמה אופנים, וא"כ איכא למימר דר' יהודה ס"ל דלכך אין המים נקנים להקדש מחמת האי טעמא שיצא הבור מרשותו ושוב אינו קונה המים</w:t>
      </w:r>
      <w:r w:rsidRPr="00334B16">
        <w:rPr>
          <w:rFonts w:ascii="Calibri" w:eastAsia="Calibri" w:hAnsi="Calibri" w:cs="PFT_Frank"/>
          <w:sz w:val="22"/>
          <w:szCs w:val="22"/>
          <w:vertAlign w:val="superscript"/>
          <w:rtl/>
        </w:rPr>
        <w:footnoteReference w:id="5"/>
      </w:r>
      <w:r w:rsidRPr="00334B16">
        <w:rPr>
          <w:rFonts w:ascii="Calibri" w:eastAsia="Calibri" w:hAnsi="Calibri" w:cs="PFT_Frank" w:hint="cs"/>
          <w:sz w:val="22"/>
          <w:szCs w:val="22"/>
          <w:rtl/>
        </w:rPr>
        <w:t>.</w:t>
      </w:r>
    </w:p>
    <w:p w14:paraId="1C2D04BD" w14:textId="77777777" w:rsidR="00334B16" w:rsidRPr="00334B16" w:rsidRDefault="00334B16" w:rsidP="00334B16">
      <w:pPr>
        <w:pStyle w:val="2"/>
        <w:rPr>
          <w:rtl/>
        </w:rPr>
      </w:pPr>
      <w:r w:rsidRPr="00334B16">
        <w:rPr>
          <w:rFonts w:hint="cs"/>
          <w:rtl/>
        </w:rPr>
        <w:t>משמעות דברי התוס' דר' יהודה סבר א"א מקנה דשלב"ל</w:t>
      </w:r>
    </w:p>
    <w:p w14:paraId="061B83A8" w14:textId="77777777" w:rsidR="00334B16" w:rsidRPr="00334B16" w:rsidRDefault="00334B16" w:rsidP="00334B16">
      <w:pPr>
        <w:spacing w:line="259" w:lineRule="auto"/>
        <w:rPr>
          <w:rFonts w:ascii="Calibri" w:eastAsia="Calibri" w:hAnsi="Calibri" w:cs="PFT_Frank"/>
          <w:sz w:val="22"/>
          <w:szCs w:val="22"/>
          <w:rtl/>
        </w:rPr>
      </w:pPr>
      <w:r w:rsidRPr="00334B16">
        <w:rPr>
          <w:rFonts w:ascii="Calibri" w:eastAsia="Calibri" w:hAnsi="Calibri" w:cs="PFT_Frank" w:hint="cs"/>
          <w:sz w:val="22"/>
          <w:szCs w:val="22"/>
          <w:rtl/>
        </w:rPr>
        <w:t>ו. ויש להביא סייעתא לדברי מרן מדברי תוס' בבכורות (מ"ט: ד"ה דידיה, וציין לזה במצפה איתן שם) שדנו בדבריהם בענין פריעת ה' סלעים דפדיון הבן מנכסים שקנה לאחר שנתחייב בפדיון, וכתבו שם דבדכתב דאיקני יהא תלוי באיבעיא הנ"ל אי דאיקני משתעבד, ועיי"ש דאיירו גם אליבא דר' יהודה, ומשמע בדבריהם דאי דאיקני לא מהני גם לר"י לא מהני, והוא כמש"כ מרן ז"ל, דכיון דסבר ר"י א"א מקנה דשלב"ל על כן היכא דלא מהני דאיקני סבר דלא משתעבד, ועיין.</w:t>
      </w:r>
    </w:p>
    <w:p w14:paraId="689671F6" w14:textId="77777777" w:rsidR="00334B16" w:rsidRPr="00334B16" w:rsidRDefault="00334B16" w:rsidP="00334B16">
      <w:pPr>
        <w:spacing w:line="259" w:lineRule="auto"/>
        <w:rPr>
          <w:rFonts w:ascii="Calibri" w:eastAsia="Calibri" w:hAnsi="Calibri" w:cs="PFT_Frank"/>
          <w:sz w:val="22"/>
          <w:szCs w:val="22"/>
          <w:rtl/>
        </w:rPr>
      </w:pPr>
    </w:p>
    <w:p w14:paraId="6E9ED177" w14:textId="77777777" w:rsidR="00334B16" w:rsidRPr="00334B16" w:rsidRDefault="00334B16" w:rsidP="00AE2625">
      <w:pPr>
        <w:pStyle w:val="af6"/>
        <w:rPr>
          <w:rFonts w:eastAsia="Calibri"/>
          <w:rtl/>
        </w:rPr>
      </w:pPr>
      <w:r w:rsidRPr="00334B16">
        <w:rPr>
          <w:rFonts w:eastAsia="Calibri" w:hint="cs"/>
          <w:rtl/>
        </w:rPr>
        <w:t>סימן ב'</w:t>
      </w:r>
    </w:p>
    <w:p w14:paraId="5DD6C009" w14:textId="77777777" w:rsidR="00334B16" w:rsidRPr="00334B16" w:rsidRDefault="00334B16" w:rsidP="00334B16">
      <w:pPr>
        <w:spacing w:line="259" w:lineRule="auto"/>
        <w:jc w:val="center"/>
        <w:rPr>
          <w:rFonts w:ascii="Calibri" w:eastAsia="Calibri" w:hAnsi="Calibri" w:cs="PFT_Frank"/>
          <w:sz w:val="22"/>
          <w:szCs w:val="22"/>
          <w:rtl/>
        </w:rPr>
      </w:pPr>
      <w:r w:rsidRPr="00334B16">
        <w:rPr>
          <w:rFonts w:ascii="Calibri" w:eastAsia="Calibri" w:hAnsi="Calibri" w:cs="PFT_Frank" w:hint="cs"/>
          <w:sz w:val="22"/>
          <w:szCs w:val="22"/>
          <w:rtl/>
        </w:rPr>
        <w:t>דעת רבי יהודה בדין שטר מאוחר</w:t>
      </w:r>
    </w:p>
    <w:p w14:paraId="1291F236" w14:textId="77777777" w:rsidR="00334B16" w:rsidRPr="00334B16" w:rsidRDefault="00334B16" w:rsidP="00334B16">
      <w:pPr>
        <w:spacing w:line="259" w:lineRule="auto"/>
        <w:rPr>
          <w:rFonts w:ascii="Calibri" w:eastAsia="Calibri" w:hAnsi="Calibri" w:cs="PFT_Frank"/>
          <w:sz w:val="22"/>
          <w:szCs w:val="22"/>
          <w:rtl/>
        </w:rPr>
      </w:pPr>
      <w:r w:rsidRPr="00334B16">
        <w:rPr>
          <w:rFonts w:ascii="Calibri" w:eastAsia="Calibri" w:hAnsi="Calibri" w:cs="PFT_Frank" w:hint="cs"/>
          <w:sz w:val="22"/>
          <w:szCs w:val="22"/>
          <w:rtl/>
        </w:rPr>
        <w:t xml:space="preserve">לשון מרן (אות א' ד"ה וידוע): </w:t>
      </w:r>
      <w:r w:rsidRPr="00334B16">
        <w:rPr>
          <w:rFonts w:ascii="Calibri" w:eastAsia="Calibri" w:hAnsi="Calibri" w:cs="PFT_Frank" w:hint="cs"/>
          <w:b/>
          <w:bCs/>
          <w:sz w:val="22"/>
          <w:szCs w:val="22"/>
          <w:rtl/>
        </w:rPr>
        <w:t>וידוע דבבבא בתרא קנ"ז ע"ב אמרינן אי דאקני לא משתעבד אתיא מתניתין דמאוחרים כשרים כרבי מאיר. ולפי זה צריך לומר דגם רבי מאיר סבירא ליה אין כותבין שובר, דאי לאו הכי לא יהיו מאוחרים כשרים. ולרבי יהודה אף על גב דסבירא ליה יחליף ואין כותבין שובר, מכל מקום מאוחרים פסולים מטעם דאקני לא משתעבד. זכינו לדין, דלפי הנ"ל דלרבי מאיר ורבי יהודה אין כותבין שובר, מכל מקום איכא בינייהו, לרבי מאיר אסור למיכתב שובר אפילו שניהם רוצים משום דמאוחרים כשרים, ולרבי יהודה דמאוחרים פסולים בלאו הכי משום דאקני, אם כן נהי דאין כופין למכתב שובר, מכל מקום אם שניהם רוצים כותבין שובר ולא שייך כאן גזירה.</w:t>
      </w:r>
    </w:p>
    <w:p w14:paraId="0405CC66" w14:textId="77777777" w:rsidR="00334B16" w:rsidRPr="00334B16" w:rsidRDefault="00334B16" w:rsidP="00334B16">
      <w:pPr>
        <w:pStyle w:val="2"/>
        <w:rPr>
          <w:rtl/>
        </w:rPr>
      </w:pPr>
      <w:r w:rsidRPr="00334B16">
        <w:rPr>
          <w:rFonts w:hint="cs"/>
          <w:rtl/>
        </w:rPr>
        <w:t>הטעם דלמ"ד שטר מאוחר כשר אין כותבין שובר אפילו ברצון שניהם</w:t>
      </w:r>
    </w:p>
    <w:p w14:paraId="6D7F232B" w14:textId="7B931B8B" w:rsidR="00334B16" w:rsidRPr="00334B16" w:rsidRDefault="00334B16" w:rsidP="00334B16">
      <w:pPr>
        <w:spacing w:line="259" w:lineRule="auto"/>
        <w:rPr>
          <w:rFonts w:ascii="Calibri" w:eastAsia="Calibri" w:hAnsi="Calibri" w:cs="PFT_Frank"/>
          <w:sz w:val="22"/>
          <w:szCs w:val="22"/>
          <w:rtl/>
        </w:rPr>
      </w:pPr>
      <w:r w:rsidRPr="00334B16">
        <w:rPr>
          <w:rFonts w:ascii="Calibri" w:eastAsia="Calibri" w:hAnsi="Calibri" w:cs="PFT_Frank" w:hint="cs"/>
          <w:sz w:val="22"/>
          <w:szCs w:val="22"/>
          <w:rtl/>
        </w:rPr>
        <w:t xml:space="preserve">א. לעיל </w:t>
      </w:r>
      <w:r w:rsidR="00BF4E4A">
        <w:rPr>
          <w:rFonts w:ascii="Calibri" w:eastAsia="Calibri" w:hAnsi="Calibri" w:cs="PFT_Frank" w:hint="cs"/>
          <w:sz w:val="22"/>
          <w:szCs w:val="22"/>
          <w:rtl/>
        </w:rPr>
        <w:t>(</w:t>
      </w:r>
      <w:r w:rsidRPr="00334B16">
        <w:rPr>
          <w:rFonts w:ascii="Calibri" w:eastAsia="Calibri" w:hAnsi="Calibri" w:cs="PFT_Frank" w:hint="cs"/>
          <w:sz w:val="22"/>
          <w:szCs w:val="22"/>
          <w:rtl/>
        </w:rPr>
        <w:t>סי</w:t>
      </w:r>
      <w:r w:rsidR="00472F8F">
        <w:rPr>
          <w:rFonts w:ascii="Calibri" w:eastAsia="Calibri" w:hAnsi="Calibri" w:cs="PFT_Frank" w:hint="cs"/>
          <w:sz w:val="22"/>
          <w:szCs w:val="22"/>
          <w:rtl/>
        </w:rPr>
        <w:t>מן</w:t>
      </w:r>
      <w:r w:rsidRPr="00334B16">
        <w:rPr>
          <w:rFonts w:ascii="Calibri" w:eastAsia="Calibri" w:hAnsi="Calibri" w:cs="PFT_Frank" w:hint="cs"/>
          <w:sz w:val="22"/>
          <w:szCs w:val="22"/>
          <w:rtl/>
        </w:rPr>
        <w:t xml:space="preserve"> א'</w:t>
      </w:r>
      <w:r w:rsidR="00BF4E4A">
        <w:rPr>
          <w:rFonts w:ascii="Calibri" w:eastAsia="Calibri" w:hAnsi="Calibri" w:cs="PFT_Frank" w:hint="cs"/>
          <w:sz w:val="22"/>
          <w:szCs w:val="22"/>
          <w:rtl/>
        </w:rPr>
        <w:t>)</w:t>
      </w:r>
      <w:r w:rsidRPr="00334B16">
        <w:rPr>
          <w:rFonts w:ascii="Calibri" w:eastAsia="Calibri" w:hAnsi="Calibri" w:cs="PFT_Frank" w:hint="cs"/>
          <w:sz w:val="22"/>
          <w:szCs w:val="22"/>
          <w:rtl/>
        </w:rPr>
        <w:t xml:space="preserve"> הובאו דברי הגמ' בב"ב (קנ"ז.) דאיבעיא לן למ"ד אין אדם מקנה דבר שלא בא לעולם, היאך יהא הדין כשכתב שכל נכסים דאיקני מעתה יהיו משועבדים למלוה, האם יוכל המלוה לטרוף מלקוחות נכסים שקנה הלוה לאחר ההלואה. ומבואר בסוגיא שם דאי דאיקני ל"מ, שטר מאוחר פסול, שהרי המלוה יבוא לטרוף קרקעות שקנה הלוה לאחר הלואה קודם זמן הכתוב </w:t>
      </w:r>
      <w:r w:rsidRPr="00334B16">
        <w:rPr>
          <w:rFonts w:ascii="Calibri" w:eastAsia="Calibri" w:hAnsi="Calibri" w:cs="PFT_Frank" w:hint="cs"/>
          <w:sz w:val="22"/>
          <w:szCs w:val="22"/>
          <w:rtl/>
        </w:rPr>
        <w:lastRenderedPageBreak/>
        <w:t>בשטר, והא דתנן שטרי חוב המאוחרין כשרין, מוקמינן לה כר"מ דס"ל אדם מקנה דבר שלב"ל, דלדידיה פשיטא דמהני דאיקני.</w:t>
      </w:r>
    </w:p>
    <w:p w14:paraId="272F8530" w14:textId="77777777" w:rsidR="007C53C4" w:rsidRPr="00E44D53" w:rsidRDefault="007C53C4" w:rsidP="007C53C4">
      <w:pPr>
        <w:spacing w:line="320" w:lineRule="atLeast"/>
        <w:rPr>
          <w:rFonts w:asciiTheme="majorBidi" w:hAnsiTheme="majorBidi" w:cs="PFT_Frank"/>
          <w:sz w:val="22"/>
          <w:szCs w:val="22"/>
          <w:rtl/>
        </w:rPr>
      </w:pPr>
      <w:bookmarkStart w:id="0" w:name="_GoBack"/>
      <w:bookmarkEnd w:id="0"/>
    </w:p>
    <w:p w14:paraId="65154C9D" w14:textId="77777777" w:rsidR="007C53C4" w:rsidRPr="00E44D53" w:rsidRDefault="007C53C4" w:rsidP="007C53C4">
      <w:pPr>
        <w:spacing w:line="320" w:lineRule="atLeast"/>
        <w:rPr>
          <w:rFonts w:asciiTheme="majorBidi" w:hAnsiTheme="majorBidi" w:cs="PFT_Frank"/>
          <w:sz w:val="22"/>
          <w:szCs w:val="22"/>
          <w:rtl/>
        </w:rPr>
      </w:pPr>
    </w:p>
    <w:p w14:paraId="7D291C7E" w14:textId="77777777" w:rsidR="007C53C4" w:rsidRPr="00E44D53" w:rsidRDefault="007C53C4" w:rsidP="007C53C4">
      <w:pPr>
        <w:spacing w:line="320" w:lineRule="atLeast"/>
        <w:rPr>
          <w:rFonts w:asciiTheme="majorBidi" w:hAnsiTheme="majorBidi" w:cs="PFT_Frank"/>
          <w:sz w:val="22"/>
          <w:szCs w:val="22"/>
          <w:rtl/>
        </w:rPr>
      </w:pPr>
    </w:p>
    <w:p w14:paraId="2D36F879" w14:textId="77777777" w:rsidR="007C53C4" w:rsidRPr="00E44D53" w:rsidRDefault="007C53C4" w:rsidP="007C53C4">
      <w:pPr>
        <w:spacing w:line="320" w:lineRule="atLeast"/>
        <w:rPr>
          <w:rFonts w:asciiTheme="majorBidi" w:hAnsiTheme="majorBidi" w:cs="PFT_Frank"/>
          <w:sz w:val="22"/>
          <w:szCs w:val="22"/>
          <w:rtl/>
        </w:rPr>
      </w:pPr>
    </w:p>
    <w:p w14:paraId="30E7069C" w14:textId="77777777" w:rsidR="007C53C4" w:rsidRPr="00E44D53" w:rsidRDefault="007C53C4" w:rsidP="007C53C4">
      <w:pPr>
        <w:spacing w:line="320" w:lineRule="atLeast"/>
        <w:rPr>
          <w:rFonts w:asciiTheme="majorBidi" w:hAnsiTheme="majorBidi" w:cs="PFT_Frank"/>
          <w:sz w:val="22"/>
          <w:szCs w:val="22"/>
          <w:rtl/>
        </w:rPr>
      </w:pPr>
    </w:p>
    <w:p w14:paraId="29F5618B" w14:textId="77777777" w:rsidR="007C53C4" w:rsidRPr="00E44D53" w:rsidRDefault="007C53C4" w:rsidP="007C53C4">
      <w:pPr>
        <w:spacing w:line="320" w:lineRule="atLeast"/>
        <w:rPr>
          <w:rFonts w:asciiTheme="majorBidi" w:hAnsiTheme="majorBidi" w:cs="PFT_Frank"/>
          <w:sz w:val="22"/>
          <w:szCs w:val="22"/>
          <w:rtl/>
        </w:rPr>
      </w:pPr>
    </w:p>
    <w:p w14:paraId="45ABE74A" w14:textId="77777777" w:rsidR="007C53C4" w:rsidRPr="00E44D53" w:rsidRDefault="007C53C4" w:rsidP="007C53C4">
      <w:pPr>
        <w:spacing w:line="320" w:lineRule="atLeast"/>
        <w:rPr>
          <w:rFonts w:asciiTheme="majorBidi" w:hAnsiTheme="majorBidi" w:cs="PFT_Frank"/>
          <w:sz w:val="22"/>
          <w:szCs w:val="22"/>
          <w:rtl/>
        </w:rPr>
      </w:pPr>
    </w:p>
    <w:p w14:paraId="7502E943" w14:textId="77777777" w:rsidR="00E07447" w:rsidRPr="00AC6D07" w:rsidRDefault="00E07447" w:rsidP="00112B9C">
      <w:pPr>
        <w:rPr>
          <w:rtl/>
        </w:rPr>
      </w:pPr>
    </w:p>
    <w:sectPr w:rsidR="00E07447" w:rsidRPr="00AC6D07" w:rsidSect="008C2DD8">
      <w:headerReference w:type="default" r:id="rId7"/>
      <w:footnotePr>
        <w:numFmt w:val="hebrew1"/>
      </w:footnotePr>
      <w:pgSz w:w="11906" w:h="16838"/>
      <w:pgMar w:top="1440" w:right="1800" w:bottom="1440" w:left="1800" w:header="708" w:footer="708" w:gutter="0"/>
      <w:cols w:space="708"/>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E2370E1" w16cid:durableId="28234BF5"/>
  <w16cid:commentId w16cid:paraId="507C3AAB" w16cid:durableId="28234BF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027EF7" w14:textId="77777777" w:rsidR="008F1580" w:rsidRDefault="008F1580" w:rsidP="003F2582">
      <w:r>
        <w:separator/>
      </w:r>
    </w:p>
  </w:endnote>
  <w:endnote w:type="continuationSeparator" w:id="0">
    <w:p w14:paraId="35DEA534" w14:textId="77777777" w:rsidR="008F1580" w:rsidRDefault="008F1580" w:rsidP="003F2582">
      <w:r>
        <w:continuationSeparator/>
      </w:r>
    </w:p>
  </w:endnote>
  <w:endnote w:type="continuationNotice" w:id="1">
    <w:p w14:paraId="4531602E" w14:textId="77777777" w:rsidR="008F1580" w:rsidRDefault="008F1580" w:rsidP="003F25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FrankRuehl">
    <w:altName w:val="David"/>
    <w:panose1 w:val="020E050306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bLivorna">
    <w:altName w:val="Times New Roman"/>
    <w:panose1 w:val="02020603050405020304"/>
    <w:charset w:val="00"/>
    <w:family w:val="roman"/>
    <w:pitch w:val="variable"/>
    <w:sig w:usb0="80000827" w:usb1="5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12">
    <w:altName w:val="Cambria"/>
    <w:panose1 w:val="00000000000000000000"/>
    <w:charset w:val="00"/>
    <w:family w:val="roman"/>
    <w:notTrueType/>
    <w:pitch w:val="default"/>
  </w:font>
  <w:font w:name="PFT_Frank">
    <w:panose1 w:val="01000503000000020003"/>
    <w:charset w:val="B1"/>
    <w:family w:val="auto"/>
    <w:pitch w:val="variable"/>
    <w:sig w:usb0="80000827" w:usb1="5000004A" w:usb2="00000000" w:usb3="00000000" w:csb0="00000020" w:csb1="00000000"/>
  </w:font>
  <w:font w:name="PFT_Vilna">
    <w:panose1 w:val="01000503000000020003"/>
    <w:charset w:val="B1"/>
    <w:family w:val="auto"/>
    <w:pitch w:val="variable"/>
    <w:sig w:usb0="80000827" w:usb1="5000004A" w:usb2="00000000" w:usb3="00000000" w:csb0="00000020" w:csb1="00000000"/>
  </w:font>
  <w:font w:name="FbTehilaPro Medium">
    <w:panose1 w:val="02020603050405020304"/>
    <w:charset w:val="00"/>
    <w:family w:val="roman"/>
    <w:pitch w:val="variable"/>
    <w:sig w:usb0="80000827" w:usb1="50000000" w:usb2="00000000" w:usb3="00000000" w:csb0="0000002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65A40F" w14:textId="77777777" w:rsidR="008F1580" w:rsidRDefault="008F1580" w:rsidP="003F2582">
      <w:r>
        <w:separator/>
      </w:r>
    </w:p>
  </w:footnote>
  <w:footnote w:type="continuationSeparator" w:id="0">
    <w:p w14:paraId="395D78E8" w14:textId="77777777" w:rsidR="008F1580" w:rsidRDefault="008F1580" w:rsidP="003F2582">
      <w:r>
        <w:continuationSeparator/>
      </w:r>
    </w:p>
  </w:footnote>
  <w:footnote w:type="continuationNotice" w:id="1">
    <w:p w14:paraId="209F1701" w14:textId="77777777" w:rsidR="008F1580" w:rsidRDefault="008F1580" w:rsidP="003F2582"/>
  </w:footnote>
  <w:footnote w:id="2">
    <w:p w14:paraId="0266535D" w14:textId="77777777" w:rsidR="002D6B40" w:rsidRDefault="002D6B40" w:rsidP="00F47D3F">
      <w:pPr>
        <w:pStyle w:val="af3"/>
        <w:rPr>
          <w:rtl/>
        </w:rPr>
      </w:pPr>
      <w:r>
        <w:rPr>
          <w:rStyle w:val="af2"/>
        </w:rPr>
        <w:footnoteRef/>
      </w:r>
      <w:r>
        <w:rPr>
          <w:rtl/>
        </w:rPr>
        <w:t xml:space="preserve"> </w:t>
      </w:r>
      <w:r>
        <w:rPr>
          <w:rFonts w:hint="cs"/>
          <w:rtl/>
        </w:rPr>
        <w:t>וציין שם לגמ' כתובות נ"א: נדרים פ"ז:, ובהערות שם ציינו לפסחים מ"ח:, ועוד יש לציין נדרים י"א. (עיי"ש ברא"ש ובפי' ר"א מן ההר ובתו"י, ובמה שדנו האחרונים בדבריהם), ב"מ צ"ד. (עיי"ש בריטב"א ד"ה אתאן), ע"ז י"א. (עיי"ש תוד"ה ואי, וביאר בפורת יוסף ועוד אחרונים דכוונתם לכלל הנ"ל, וכן הוא להדיא בתוס' שאנץ שם).</w:t>
      </w:r>
    </w:p>
  </w:footnote>
  <w:footnote w:id="3">
    <w:p w14:paraId="2A98BD00" w14:textId="77777777" w:rsidR="002D6B40" w:rsidRDefault="002D6B40" w:rsidP="00F47D3F">
      <w:pPr>
        <w:pStyle w:val="af3"/>
        <w:rPr>
          <w:rtl/>
        </w:rPr>
      </w:pPr>
      <w:r>
        <w:rPr>
          <w:rStyle w:val="af2"/>
        </w:rPr>
        <w:footnoteRef/>
      </w:r>
      <w:r>
        <w:rPr>
          <w:rtl/>
        </w:rPr>
        <w:t xml:space="preserve"> </w:t>
      </w:r>
      <w:r>
        <w:rPr>
          <w:rFonts w:hint="cs"/>
          <w:rtl/>
        </w:rPr>
        <w:t>ועיין בכללי הש"ס למרן שם, מש"כ בהערות והארות (עמ' ל"א הערה ד'). וע"ע שם (אות ז') דנקטינן נמי כללא דסתם בר פלוגתיה דר' יהודה היינו ר' מאיר, ומ"מ אף בזה אשכחן כמה דוכתי דלא מוקמינן לה בדר"מ כמצויין שם, ועיי"ש הערה י"ב.</w:t>
      </w:r>
    </w:p>
  </w:footnote>
  <w:footnote w:id="4">
    <w:p w14:paraId="409774E8" w14:textId="77777777" w:rsidR="002D6B40" w:rsidRDefault="002D6B40" w:rsidP="00F47D3F">
      <w:pPr>
        <w:pStyle w:val="af3"/>
      </w:pPr>
      <w:r>
        <w:rPr>
          <w:rStyle w:val="af2"/>
        </w:rPr>
        <w:footnoteRef/>
      </w:r>
      <w:r>
        <w:rPr>
          <w:rtl/>
        </w:rPr>
        <w:t xml:space="preserve"> </w:t>
      </w:r>
      <w:r>
        <w:rPr>
          <w:rFonts w:hint="cs"/>
          <w:rtl/>
        </w:rPr>
        <w:t xml:space="preserve">ועיין </w:t>
      </w:r>
      <w:r w:rsidRPr="007E43EE">
        <w:rPr>
          <w:rFonts w:hint="cs"/>
          <w:rtl/>
        </w:rPr>
        <w:t>תוס' בכתובות (מ"ב. ד"ה ר' שמעון</w:t>
      </w:r>
      <w:r>
        <w:rPr>
          <w:rFonts w:hint="cs"/>
          <w:rtl/>
        </w:rPr>
        <w:t>, הגהת תו"י</w:t>
      </w:r>
      <w:r w:rsidRPr="007E43EE">
        <w:rPr>
          <w:rFonts w:hint="cs"/>
          <w:rtl/>
        </w:rPr>
        <w:t xml:space="preserve">) שהוקשה להו אי נימא דרבנן דהתם ס"ל אדם מקנה דשלב"ל אמאי לא מני להו בקידושין </w:t>
      </w:r>
      <w:r>
        <w:rPr>
          <w:rFonts w:hint="cs"/>
          <w:rtl/>
        </w:rPr>
        <w:t>שם, ותירצו</w:t>
      </w:r>
      <w:r w:rsidRPr="007E43EE">
        <w:rPr>
          <w:rFonts w:hint="cs"/>
          <w:rtl/>
        </w:rPr>
        <w:t xml:space="preserve"> שלא הוזכרו שם אלא אותם התנאים שנזכרו בשמם</w:t>
      </w:r>
      <w:r>
        <w:rPr>
          <w:rFonts w:hint="cs"/>
          <w:rtl/>
        </w:rPr>
        <w:t>.</w:t>
      </w:r>
      <w:r w:rsidRPr="007E43EE">
        <w:rPr>
          <w:rFonts w:hint="cs"/>
          <w:rtl/>
        </w:rPr>
        <w:t xml:space="preserve"> </w:t>
      </w:r>
      <w:r>
        <w:rPr>
          <w:rFonts w:hint="cs"/>
          <w:rtl/>
        </w:rPr>
        <w:t>אמנם ד"ז לכאורה אינו ענין להכא,</w:t>
      </w:r>
      <w:r w:rsidRPr="007E43EE">
        <w:rPr>
          <w:rFonts w:hint="cs"/>
          <w:rtl/>
        </w:rPr>
        <w:t xml:space="preserve"> </w:t>
      </w:r>
      <w:r>
        <w:rPr>
          <w:rFonts w:hint="cs"/>
          <w:rtl/>
        </w:rPr>
        <w:t>די"ל דשאני התם שלא נתפרש שמו</w:t>
      </w:r>
      <w:r w:rsidRPr="007E43EE">
        <w:rPr>
          <w:rFonts w:hint="cs"/>
          <w:rtl/>
        </w:rPr>
        <w:t xml:space="preserve"> של תנא מסויים, אבל הכא דידעינן ליה בשמו היה לנו למנותו בכלל שאר תנאים</w:t>
      </w:r>
      <w:r>
        <w:rPr>
          <w:rFonts w:hint="cs"/>
          <w:rtl/>
        </w:rPr>
        <w:t>. [וע"ע סוטה ל'. רש"י ד"ה וחכמים (ושם איירי בפלוגתא דר"מ), ובפסחים כ"ז. ד"ה יוליך].</w:t>
      </w:r>
    </w:p>
  </w:footnote>
  <w:footnote w:id="5">
    <w:p w14:paraId="0D6CB2D7" w14:textId="77777777" w:rsidR="002D6B40" w:rsidRDefault="002D6B40" w:rsidP="00F47D3F">
      <w:pPr>
        <w:pStyle w:val="af3"/>
      </w:pPr>
      <w:r>
        <w:rPr>
          <w:rStyle w:val="af2"/>
        </w:rPr>
        <w:footnoteRef/>
      </w:r>
      <w:r>
        <w:rPr>
          <w:rtl/>
        </w:rPr>
        <w:t xml:space="preserve"> </w:t>
      </w:r>
      <w:r w:rsidRPr="008A3343">
        <w:rPr>
          <w:rFonts w:hint="cs"/>
          <w:rtl/>
        </w:rPr>
        <w:t>עוד נחלקו בראשונים שם אי בעינן שיפרש בשעת הקדש שמקדיש גם מה שיבוא לאחר מכאן (עיי"ש רשב"ם רמב"ן וריטב"א), וא"כ יש מקום לומר דראב"ש איירי בהקדיש המים בפירוש, ור"י דאמר דלא קנה, היינו בדלא פירש להדיא, אבל בפירש להדיא אפשר דמודה לראב"ש, ועיין</w:t>
      </w:r>
      <w:r>
        <w:rPr>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FbTehilaPro Medium" w:hAnsi="FbTehilaPro Medium" w:cs="FbTehilaPro Medium"/>
        <w:sz w:val="32"/>
        <w:szCs w:val="32"/>
        <w:u w:val="single"/>
        <w:rtl/>
      </w:rPr>
      <w:id w:val="-1192292411"/>
      <w:docPartObj>
        <w:docPartGallery w:val="Page Numbers (Top of Page)"/>
        <w:docPartUnique/>
      </w:docPartObj>
    </w:sdtPr>
    <w:sdtEndPr>
      <w:rPr>
        <w:cs/>
      </w:rPr>
    </w:sdtEndPr>
    <w:sdtContent>
      <w:p w14:paraId="327829C7" w14:textId="4CA4D7A9" w:rsidR="002D6B40" w:rsidRPr="000904C1" w:rsidRDefault="002D6B40" w:rsidP="00CB20B9">
        <w:pPr>
          <w:pStyle w:val="a5"/>
          <w:rPr>
            <w:rFonts w:ascii="FbTehilaPro Medium" w:hAnsi="FbTehilaPro Medium" w:cs="FbTehilaPro Medium"/>
            <w:sz w:val="32"/>
            <w:szCs w:val="32"/>
            <w:u w:val="single"/>
            <w:rtl/>
            <w:cs/>
          </w:rPr>
        </w:pPr>
        <w:r>
          <w:rPr>
            <w:rFonts w:ascii="FbTehilaPro Medium" w:hAnsi="FbTehilaPro Medium" w:cs="FbTehilaPro Medium" w:hint="cs"/>
            <w:sz w:val="32"/>
            <w:szCs w:val="32"/>
            <w:u w:val="single"/>
            <w:rtl/>
          </w:rPr>
          <w:t>חידושי סוגיות בבא מציעא - קונטרס ה</w:t>
        </w:r>
        <w:r w:rsidRPr="000904C1">
          <w:rPr>
            <w:rFonts w:ascii="FbTehilaPro Medium" w:hAnsi="FbTehilaPro Medium" w:cs="FbTehilaPro Medium"/>
            <w:sz w:val="32"/>
            <w:szCs w:val="32"/>
            <w:u w:val="single"/>
            <w:rtl/>
          </w:rPr>
          <w:t xml:space="preserve">מילואים                                                                      </w:t>
        </w:r>
        <w:r w:rsidRPr="000904C1">
          <w:rPr>
            <w:rFonts w:ascii="FbTehilaPro Medium" w:hAnsi="FbTehilaPro Medium" w:cs="FbTehilaPro Medium"/>
            <w:sz w:val="32"/>
            <w:szCs w:val="32"/>
            <w:u w:val="single"/>
          </w:rPr>
          <w:fldChar w:fldCharType="begin"/>
        </w:r>
        <w:r w:rsidRPr="000904C1">
          <w:rPr>
            <w:rFonts w:ascii="FbTehilaPro Medium" w:hAnsi="FbTehilaPro Medium" w:cs="FbTehilaPro Medium"/>
            <w:sz w:val="32"/>
            <w:szCs w:val="32"/>
            <w:u w:val="single"/>
            <w:rtl/>
            <w:cs/>
          </w:rPr>
          <w:instrText>PAGE   \* MERGEFORMAT</w:instrText>
        </w:r>
        <w:r w:rsidRPr="000904C1">
          <w:rPr>
            <w:rFonts w:ascii="FbTehilaPro Medium" w:hAnsi="FbTehilaPro Medium" w:cs="FbTehilaPro Medium"/>
            <w:sz w:val="32"/>
            <w:szCs w:val="32"/>
            <w:u w:val="single"/>
          </w:rPr>
          <w:fldChar w:fldCharType="separate"/>
        </w:r>
        <w:r w:rsidR="00137079" w:rsidRPr="00137079">
          <w:rPr>
            <w:rFonts w:ascii="FbTehilaPro Medium" w:hAnsi="FbTehilaPro Medium" w:cs="FbTehilaPro Medium"/>
            <w:noProof/>
            <w:sz w:val="32"/>
            <w:szCs w:val="32"/>
            <w:u w:val="single"/>
            <w:rtl/>
            <w:lang w:val="he-IL"/>
          </w:rPr>
          <w:t>2</w:t>
        </w:r>
        <w:r w:rsidRPr="000904C1">
          <w:rPr>
            <w:rFonts w:ascii="FbTehilaPro Medium" w:hAnsi="FbTehilaPro Medium" w:cs="FbTehilaPro Medium"/>
            <w:sz w:val="32"/>
            <w:szCs w:val="32"/>
            <w:u w:val="single"/>
          </w:rPr>
          <w:fldChar w:fldCharType="end"/>
        </w:r>
      </w:p>
    </w:sdtContent>
  </w:sdt>
  <w:p w14:paraId="46E786CB" w14:textId="77777777" w:rsidR="002D6B40" w:rsidRDefault="002D6B40" w:rsidP="003F2582">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grammar="clean"/>
  <w:trackRevisions/>
  <w:defaultTabStop w:val="720"/>
  <w:characterSpacingControl w:val="doNotCompress"/>
  <w:footnotePr>
    <w:numFmt w:val="hebrew1"/>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C43"/>
    <w:rsid w:val="00002D2C"/>
    <w:rsid w:val="00002F40"/>
    <w:rsid w:val="000077BB"/>
    <w:rsid w:val="00011D3E"/>
    <w:rsid w:val="00036A81"/>
    <w:rsid w:val="000417B4"/>
    <w:rsid w:val="00055CB9"/>
    <w:rsid w:val="00062625"/>
    <w:rsid w:val="000656E0"/>
    <w:rsid w:val="00065C92"/>
    <w:rsid w:val="000677EB"/>
    <w:rsid w:val="00071559"/>
    <w:rsid w:val="00071690"/>
    <w:rsid w:val="00074E3D"/>
    <w:rsid w:val="000811AB"/>
    <w:rsid w:val="000904C1"/>
    <w:rsid w:val="00090891"/>
    <w:rsid w:val="00091F76"/>
    <w:rsid w:val="00093E2E"/>
    <w:rsid w:val="0009722C"/>
    <w:rsid w:val="000A1440"/>
    <w:rsid w:val="000A28CF"/>
    <w:rsid w:val="000B2AB3"/>
    <w:rsid w:val="000D1152"/>
    <w:rsid w:val="000D1698"/>
    <w:rsid w:val="000D3218"/>
    <w:rsid w:val="000D49FC"/>
    <w:rsid w:val="000D7F45"/>
    <w:rsid w:val="000E6AE4"/>
    <w:rsid w:val="000E6F8A"/>
    <w:rsid w:val="000F2869"/>
    <w:rsid w:val="000F5E85"/>
    <w:rsid w:val="00101E8E"/>
    <w:rsid w:val="00111F21"/>
    <w:rsid w:val="00112B9C"/>
    <w:rsid w:val="00124B1C"/>
    <w:rsid w:val="00137009"/>
    <w:rsid w:val="00137079"/>
    <w:rsid w:val="00142F1E"/>
    <w:rsid w:val="00143625"/>
    <w:rsid w:val="00146D36"/>
    <w:rsid w:val="00160B7C"/>
    <w:rsid w:val="00162576"/>
    <w:rsid w:val="00165A05"/>
    <w:rsid w:val="00167ACA"/>
    <w:rsid w:val="00173E06"/>
    <w:rsid w:val="00176EAE"/>
    <w:rsid w:val="00183F38"/>
    <w:rsid w:val="00186FA2"/>
    <w:rsid w:val="00194983"/>
    <w:rsid w:val="001A4838"/>
    <w:rsid w:val="001C092B"/>
    <w:rsid w:val="001C2C60"/>
    <w:rsid w:val="001D14AE"/>
    <w:rsid w:val="001D2825"/>
    <w:rsid w:val="001D3B72"/>
    <w:rsid w:val="001D4CF0"/>
    <w:rsid w:val="001D549C"/>
    <w:rsid w:val="001D62DC"/>
    <w:rsid w:val="001D6946"/>
    <w:rsid w:val="001F181E"/>
    <w:rsid w:val="001F1AE7"/>
    <w:rsid w:val="002020A0"/>
    <w:rsid w:val="00203D77"/>
    <w:rsid w:val="00212FEC"/>
    <w:rsid w:val="002132E3"/>
    <w:rsid w:val="00233EEB"/>
    <w:rsid w:val="002406DC"/>
    <w:rsid w:val="00240B2D"/>
    <w:rsid w:val="00241E30"/>
    <w:rsid w:val="00252612"/>
    <w:rsid w:val="0025293B"/>
    <w:rsid w:val="00262AA1"/>
    <w:rsid w:val="002650DF"/>
    <w:rsid w:val="002721A2"/>
    <w:rsid w:val="00273809"/>
    <w:rsid w:val="0027643B"/>
    <w:rsid w:val="00290705"/>
    <w:rsid w:val="002A3BC0"/>
    <w:rsid w:val="002B1F6B"/>
    <w:rsid w:val="002B2A81"/>
    <w:rsid w:val="002B4049"/>
    <w:rsid w:val="002B761E"/>
    <w:rsid w:val="002C007F"/>
    <w:rsid w:val="002C2F6A"/>
    <w:rsid w:val="002C774E"/>
    <w:rsid w:val="002D2DC5"/>
    <w:rsid w:val="002D5D8A"/>
    <w:rsid w:val="002D6B40"/>
    <w:rsid w:val="002E0141"/>
    <w:rsid w:val="002E5329"/>
    <w:rsid w:val="002F0F59"/>
    <w:rsid w:val="00301A0D"/>
    <w:rsid w:val="00305DE7"/>
    <w:rsid w:val="0030738D"/>
    <w:rsid w:val="0032265D"/>
    <w:rsid w:val="00323B47"/>
    <w:rsid w:val="00324463"/>
    <w:rsid w:val="00334B16"/>
    <w:rsid w:val="00335975"/>
    <w:rsid w:val="00337290"/>
    <w:rsid w:val="00340164"/>
    <w:rsid w:val="00341263"/>
    <w:rsid w:val="0034155A"/>
    <w:rsid w:val="0034430B"/>
    <w:rsid w:val="00345BE0"/>
    <w:rsid w:val="00351179"/>
    <w:rsid w:val="003541A8"/>
    <w:rsid w:val="0035764D"/>
    <w:rsid w:val="00364DF1"/>
    <w:rsid w:val="00374084"/>
    <w:rsid w:val="0037616B"/>
    <w:rsid w:val="00377FBF"/>
    <w:rsid w:val="00385C77"/>
    <w:rsid w:val="00393516"/>
    <w:rsid w:val="003944AF"/>
    <w:rsid w:val="003963A1"/>
    <w:rsid w:val="003A6591"/>
    <w:rsid w:val="003A70A5"/>
    <w:rsid w:val="003B0BFB"/>
    <w:rsid w:val="003B1F3C"/>
    <w:rsid w:val="003B741E"/>
    <w:rsid w:val="003C1EA7"/>
    <w:rsid w:val="003C7278"/>
    <w:rsid w:val="003D023F"/>
    <w:rsid w:val="003D03A8"/>
    <w:rsid w:val="003E116E"/>
    <w:rsid w:val="003F2582"/>
    <w:rsid w:val="003F496E"/>
    <w:rsid w:val="003F7579"/>
    <w:rsid w:val="00406051"/>
    <w:rsid w:val="00410682"/>
    <w:rsid w:val="00411120"/>
    <w:rsid w:val="004129C7"/>
    <w:rsid w:val="00413851"/>
    <w:rsid w:val="00415F67"/>
    <w:rsid w:val="00416BEE"/>
    <w:rsid w:val="004177C8"/>
    <w:rsid w:val="00430477"/>
    <w:rsid w:val="00433341"/>
    <w:rsid w:val="00434D69"/>
    <w:rsid w:val="004421EC"/>
    <w:rsid w:val="0046477C"/>
    <w:rsid w:val="004661AC"/>
    <w:rsid w:val="0046756E"/>
    <w:rsid w:val="00472F8F"/>
    <w:rsid w:val="00474133"/>
    <w:rsid w:val="00482557"/>
    <w:rsid w:val="00486AE2"/>
    <w:rsid w:val="00496A32"/>
    <w:rsid w:val="004B139A"/>
    <w:rsid w:val="004B2244"/>
    <w:rsid w:val="004D721E"/>
    <w:rsid w:val="004E1DC4"/>
    <w:rsid w:val="004E2084"/>
    <w:rsid w:val="004E210A"/>
    <w:rsid w:val="004E234E"/>
    <w:rsid w:val="004E3DC5"/>
    <w:rsid w:val="004E4E26"/>
    <w:rsid w:val="004E7443"/>
    <w:rsid w:val="004F4A22"/>
    <w:rsid w:val="004F69B9"/>
    <w:rsid w:val="004F75B9"/>
    <w:rsid w:val="004F79F3"/>
    <w:rsid w:val="00500DA4"/>
    <w:rsid w:val="005019A3"/>
    <w:rsid w:val="005117D8"/>
    <w:rsid w:val="00515EA7"/>
    <w:rsid w:val="00517892"/>
    <w:rsid w:val="005254F3"/>
    <w:rsid w:val="00532B27"/>
    <w:rsid w:val="00532DDC"/>
    <w:rsid w:val="00535FA4"/>
    <w:rsid w:val="005372DC"/>
    <w:rsid w:val="005506B8"/>
    <w:rsid w:val="0055137B"/>
    <w:rsid w:val="00554D53"/>
    <w:rsid w:val="00560950"/>
    <w:rsid w:val="00562C3D"/>
    <w:rsid w:val="00584D91"/>
    <w:rsid w:val="005870F0"/>
    <w:rsid w:val="005873D9"/>
    <w:rsid w:val="00592336"/>
    <w:rsid w:val="0059264C"/>
    <w:rsid w:val="00594137"/>
    <w:rsid w:val="005A1F63"/>
    <w:rsid w:val="005A4493"/>
    <w:rsid w:val="005A4E7E"/>
    <w:rsid w:val="005B1F48"/>
    <w:rsid w:val="005C2EA7"/>
    <w:rsid w:val="005D111A"/>
    <w:rsid w:val="005D3C31"/>
    <w:rsid w:val="005D3CCF"/>
    <w:rsid w:val="005E322A"/>
    <w:rsid w:val="005F02F3"/>
    <w:rsid w:val="005F0942"/>
    <w:rsid w:val="005F142B"/>
    <w:rsid w:val="00604279"/>
    <w:rsid w:val="00606772"/>
    <w:rsid w:val="00606809"/>
    <w:rsid w:val="00606B01"/>
    <w:rsid w:val="006104B1"/>
    <w:rsid w:val="006322C8"/>
    <w:rsid w:val="0063740D"/>
    <w:rsid w:val="00643675"/>
    <w:rsid w:val="00652E15"/>
    <w:rsid w:val="006538D2"/>
    <w:rsid w:val="00653BBA"/>
    <w:rsid w:val="006602C7"/>
    <w:rsid w:val="00662398"/>
    <w:rsid w:val="00664E0F"/>
    <w:rsid w:val="00677EDB"/>
    <w:rsid w:val="00680434"/>
    <w:rsid w:val="00682B76"/>
    <w:rsid w:val="00687A0B"/>
    <w:rsid w:val="0069209B"/>
    <w:rsid w:val="006936F9"/>
    <w:rsid w:val="006A0728"/>
    <w:rsid w:val="006A152E"/>
    <w:rsid w:val="006A300E"/>
    <w:rsid w:val="006B418E"/>
    <w:rsid w:val="006B7088"/>
    <w:rsid w:val="006C1B9F"/>
    <w:rsid w:val="006C7C1E"/>
    <w:rsid w:val="006D27EE"/>
    <w:rsid w:val="006D31E5"/>
    <w:rsid w:val="006D5CF0"/>
    <w:rsid w:val="006D5DB0"/>
    <w:rsid w:val="006E2841"/>
    <w:rsid w:val="006F0F81"/>
    <w:rsid w:val="006F206E"/>
    <w:rsid w:val="006F7084"/>
    <w:rsid w:val="0070443F"/>
    <w:rsid w:val="00706155"/>
    <w:rsid w:val="007101B2"/>
    <w:rsid w:val="0071329E"/>
    <w:rsid w:val="007171AF"/>
    <w:rsid w:val="00721809"/>
    <w:rsid w:val="00731E3B"/>
    <w:rsid w:val="007338E3"/>
    <w:rsid w:val="00737858"/>
    <w:rsid w:val="00740D66"/>
    <w:rsid w:val="00753E22"/>
    <w:rsid w:val="00755C72"/>
    <w:rsid w:val="0075784F"/>
    <w:rsid w:val="00760389"/>
    <w:rsid w:val="00762C0B"/>
    <w:rsid w:val="00763D6E"/>
    <w:rsid w:val="00767413"/>
    <w:rsid w:val="00767B72"/>
    <w:rsid w:val="0077014C"/>
    <w:rsid w:val="00772492"/>
    <w:rsid w:val="00772CCE"/>
    <w:rsid w:val="007737D0"/>
    <w:rsid w:val="007750B2"/>
    <w:rsid w:val="00775487"/>
    <w:rsid w:val="00775821"/>
    <w:rsid w:val="007823F8"/>
    <w:rsid w:val="007849CC"/>
    <w:rsid w:val="00785E14"/>
    <w:rsid w:val="00791359"/>
    <w:rsid w:val="007A3560"/>
    <w:rsid w:val="007A418B"/>
    <w:rsid w:val="007B06EE"/>
    <w:rsid w:val="007B65F0"/>
    <w:rsid w:val="007C0134"/>
    <w:rsid w:val="007C53C4"/>
    <w:rsid w:val="007D1C7C"/>
    <w:rsid w:val="007D4600"/>
    <w:rsid w:val="007E0C99"/>
    <w:rsid w:val="007E55F5"/>
    <w:rsid w:val="007F2449"/>
    <w:rsid w:val="007F68A8"/>
    <w:rsid w:val="00800A56"/>
    <w:rsid w:val="008025E2"/>
    <w:rsid w:val="008155F9"/>
    <w:rsid w:val="0082033E"/>
    <w:rsid w:val="00823613"/>
    <w:rsid w:val="00834E6E"/>
    <w:rsid w:val="008427EE"/>
    <w:rsid w:val="00844729"/>
    <w:rsid w:val="0085013C"/>
    <w:rsid w:val="00850555"/>
    <w:rsid w:val="00856538"/>
    <w:rsid w:val="0086001C"/>
    <w:rsid w:val="008604B0"/>
    <w:rsid w:val="0086285A"/>
    <w:rsid w:val="0086400D"/>
    <w:rsid w:val="00864D79"/>
    <w:rsid w:val="00865E56"/>
    <w:rsid w:val="00871EE9"/>
    <w:rsid w:val="008766F5"/>
    <w:rsid w:val="00881534"/>
    <w:rsid w:val="00881914"/>
    <w:rsid w:val="008821E9"/>
    <w:rsid w:val="00884036"/>
    <w:rsid w:val="00887475"/>
    <w:rsid w:val="008916FA"/>
    <w:rsid w:val="0089295B"/>
    <w:rsid w:val="008B0018"/>
    <w:rsid w:val="008B54D5"/>
    <w:rsid w:val="008B60D0"/>
    <w:rsid w:val="008C2DD8"/>
    <w:rsid w:val="008D0CDF"/>
    <w:rsid w:val="008D772D"/>
    <w:rsid w:val="008E012D"/>
    <w:rsid w:val="008E2319"/>
    <w:rsid w:val="008E2C07"/>
    <w:rsid w:val="008E428F"/>
    <w:rsid w:val="008E7E79"/>
    <w:rsid w:val="008F1580"/>
    <w:rsid w:val="008F2CFE"/>
    <w:rsid w:val="008F569C"/>
    <w:rsid w:val="008F7955"/>
    <w:rsid w:val="009005BF"/>
    <w:rsid w:val="00901C00"/>
    <w:rsid w:val="00901C72"/>
    <w:rsid w:val="009045A0"/>
    <w:rsid w:val="0091140A"/>
    <w:rsid w:val="00915D01"/>
    <w:rsid w:val="00917079"/>
    <w:rsid w:val="009431DB"/>
    <w:rsid w:val="00945E2C"/>
    <w:rsid w:val="00946FD7"/>
    <w:rsid w:val="0095325D"/>
    <w:rsid w:val="00953856"/>
    <w:rsid w:val="009647BF"/>
    <w:rsid w:val="00964CB2"/>
    <w:rsid w:val="00971124"/>
    <w:rsid w:val="00972C7E"/>
    <w:rsid w:val="00983144"/>
    <w:rsid w:val="00985304"/>
    <w:rsid w:val="0098798F"/>
    <w:rsid w:val="00990B50"/>
    <w:rsid w:val="00993C4F"/>
    <w:rsid w:val="0099564E"/>
    <w:rsid w:val="009A1CE1"/>
    <w:rsid w:val="009A2888"/>
    <w:rsid w:val="009A6A20"/>
    <w:rsid w:val="009B16C2"/>
    <w:rsid w:val="009B29A3"/>
    <w:rsid w:val="009B35B7"/>
    <w:rsid w:val="009B3648"/>
    <w:rsid w:val="009B7C7B"/>
    <w:rsid w:val="009C1354"/>
    <w:rsid w:val="009C400F"/>
    <w:rsid w:val="009D23E1"/>
    <w:rsid w:val="009D4182"/>
    <w:rsid w:val="009E51D2"/>
    <w:rsid w:val="009F04CF"/>
    <w:rsid w:val="009F0779"/>
    <w:rsid w:val="00A11B9F"/>
    <w:rsid w:val="00A26F32"/>
    <w:rsid w:val="00A315AB"/>
    <w:rsid w:val="00A3429A"/>
    <w:rsid w:val="00A4417E"/>
    <w:rsid w:val="00A45FFC"/>
    <w:rsid w:val="00A47013"/>
    <w:rsid w:val="00A47B69"/>
    <w:rsid w:val="00A53148"/>
    <w:rsid w:val="00A5368F"/>
    <w:rsid w:val="00A5486D"/>
    <w:rsid w:val="00A61E26"/>
    <w:rsid w:val="00A64073"/>
    <w:rsid w:val="00A70FD8"/>
    <w:rsid w:val="00A72D0A"/>
    <w:rsid w:val="00A76B28"/>
    <w:rsid w:val="00A823CD"/>
    <w:rsid w:val="00A87B4F"/>
    <w:rsid w:val="00AB7CFE"/>
    <w:rsid w:val="00AC0259"/>
    <w:rsid w:val="00AC6D07"/>
    <w:rsid w:val="00AD4170"/>
    <w:rsid w:val="00AD6FA3"/>
    <w:rsid w:val="00AE2625"/>
    <w:rsid w:val="00AF0703"/>
    <w:rsid w:val="00AF1C15"/>
    <w:rsid w:val="00AF4B21"/>
    <w:rsid w:val="00B00198"/>
    <w:rsid w:val="00B01CFF"/>
    <w:rsid w:val="00B04FE0"/>
    <w:rsid w:val="00B2192C"/>
    <w:rsid w:val="00B21D37"/>
    <w:rsid w:val="00B260EB"/>
    <w:rsid w:val="00B41F4A"/>
    <w:rsid w:val="00B43B88"/>
    <w:rsid w:val="00B444F1"/>
    <w:rsid w:val="00B50FE1"/>
    <w:rsid w:val="00B520CF"/>
    <w:rsid w:val="00B53174"/>
    <w:rsid w:val="00B545E0"/>
    <w:rsid w:val="00B5559F"/>
    <w:rsid w:val="00B6535B"/>
    <w:rsid w:val="00B86BCC"/>
    <w:rsid w:val="00B86DCE"/>
    <w:rsid w:val="00B91955"/>
    <w:rsid w:val="00BA09D5"/>
    <w:rsid w:val="00BA2DD3"/>
    <w:rsid w:val="00BA2F63"/>
    <w:rsid w:val="00BA3503"/>
    <w:rsid w:val="00BA5A48"/>
    <w:rsid w:val="00BB00DA"/>
    <w:rsid w:val="00BB6139"/>
    <w:rsid w:val="00BC57A5"/>
    <w:rsid w:val="00BD0172"/>
    <w:rsid w:val="00BE53E8"/>
    <w:rsid w:val="00BF4E4A"/>
    <w:rsid w:val="00BF5CEE"/>
    <w:rsid w:val="00C00DDC"/>
    <w:rsid w:val="00C01B79"/>
    <w:rsid w:val="00C03421"/>
    <w:rsid w:val="00C03882"/>
    <w:rsid w:val="00C13D34"/>
    <w:rsid w:val="00C22F6D"/>
    <w:rsid w:val="00C244FE"/>
    <w:rsid w:val="00C24E91"/>
    <w:rsid w:val="00C276C9"/>
    <w:rsid w:val="00C36569"/>
    <w:rsid w:val="00C37C1D"/>
    <w:rsid w:val="00C405FD"/>
    <w:rsid w:val="00C41561"/>
    <w:rsid w:val="00C46AC8"/>
    <w:rsid w:val="00C512BA"/>
    <w:rsid w:val="00C65416"/>
    <w:rsid w:val="00C71FF8"/>
    <w:rsid w:val="00C75120"/>
    <w:rsid w:val="00C80878"/>
    <w:rsid w:val="00C864CD"/>
    <w:rsid w:val="00C9292E"/>
    <w:rsid w:val="00C937D6"/>
    <w:rsid w:val="00C97C68"/>
    <w:rsid w:val="00CA013A"/>
    <w:rsid w:val="00CB20B9"/>
    <w:rsid w:val="00CB46FA"/>
    <w:rsid w:val="00CB7BF9"/>
    <w:rsid w:val="00CD006A"/>
    <w:rsid w:val="00CE3129"/>
    <w:rsid w:val="00CF0EA9"/>
    <w:rsid w:val="00CF1328"/>
    <w:rsid w:val="00CF5E40"/>
    <w:rsid w:val="00D03FD7"/>
    <w:rsid w:val="00D12881"/>
    <w:rsid w:val="00D15B24"/>
    <w:rsid w:val="00D24EE2"/>
    <w:rsid w:val="00D252C4"/>
    <w:rsid w:val="00D269C3"/>
    <w:rsid w:val="00D33403"/>
    <w:rsid w:val="00D372CB"/>
    <w:rsid w:val="00D40A00"/>
    <w:rsid w:val="00D4169F"/>
    <w:rsid w:val="00D4491E"/>
    <w:rsid w:val="00D47997"/>
    <w:rsid w:val="00D51742"/>
    <w:rsid w:val="00D527B0"/>
    <w:rsid w:val="00D5339D"/>
    <w:rsid w:val="00D63584"/>
    <w:rsid w:val="00D663E3"/>
    <w:rsid w:val="00D7302C"/>
    <w:rsid w:val="00D755DE"/>
    <w:rsid w:val="00D80164"/>
    <w:rsid w:val="00D83AC6"/>
    <w:rsid w:val="00D865DB"/>
    <w:rsid w:val="00D9251D"/>
    <w:rsid w:val="00DA117D"/>
    <w:rsid w:val="00DA6B85"/>
    <w:rsid w:val="00DA6C1E"/>
    <w:rsid w:val="00DA7786"/>
    <w:rsid w:val="00DB62C4"/>
    <w:rsid w:val="00DB7448"/>
    <w:rsid w:val="00DB7C43"/>
    <w:rsid w:val="00DC1774"/>
    <w:rsid w:val="00DC739C"/>
    <w:rsid w:val="00DD0A45"/>
    <w:rsid w:val="00DD3775"/>
    <w:rsid w:val="00DD513C"/>
    <w:rsid w:val="00DD66B2"/>
    <w:rsid w:val="00DD68AC"/>
    <w:rsid w:val="00DE6D8E"/>
    <w:rsid w:val="00DF1771"/>
    <w:rsid w:val="00E0595B"/>
    <w:rsid w:val="00E065B8"/>
    <w:rsid w:val="00E07447"/>
    <w:rsid w:val="00E13BE5"/>
    <w:rsid w:val="00E21E9B"/>
    <w:rsid w:val="00E30EBD"/>
    <w:rsid w:val="00E35129"/>
    <w:rsid w:val="00E419F7"/>
    <w:rsid w:val="00E42EB1"/>
    <w:rsid w:val="00E52A8E"/>
    <w:rsid w:val="00E54DDD"/>
    <w:rsid w:val="00E7051A"/>
    <w:rsid w:val="00E768FC"/>
    <w:rsid w:val="00E776A9"/>
    <w:rsid w:val="00E81B41"/>
    <w:rsid w:val="00EA39F1"/>
    <w:rsid w:val="00EB22F7"/>
    <w:rsid w:val="00ED2B08"/>
    <w:rsid w:val="00ED419F"/>
    <w:rsid w:val="00EE213D"/>
    <w:rsid w:val="00EE7389"/>
    <w:rsid w:val="00EF5874"/>
    <w:rsid w:val="00F04996"/>
    <w:rsid w:val="00F04EB5"/>
    <w:rsid w:val="00F069B0"/>
    <w:rsid w:val="00F1100C"/>
    <w:rsid w:val="00F1358E"/>
    <w:rsid w:val="00F30E6B"/>
    <w:rsid w:val="00F310DA"/>
    <w:rsid w:val="00F40FFD"/>
    <w:rsid w:val="00F43EBE"/>
    <w:rsid w:val="00F47D3F"/>
    <w:rsid w:val="00F52625"/>
    <w:rsid w:val="00F536B4"/>
    <w:rsid w:val="00F62689"/>
    <w:rsid w:val="00F73792"/>
    <w:rsid w:val="00F8119A"/>
    <w:rsid w:val="00F82728"/>
    <w:rsid w:val="00F97EAB"/>
    <w:rsid w:val="00FA279E"/>
    <w:rsid w:val="00FB4B66"/>
    <w:rsid w:val="00FB6F7D"/>
    <w:rsid w:val="00FC5209"/>
    <w:rsid w:val="00FD151D"/>
    <w:rsid w:val="00FD1DC3"/>
    <w:rsid w:val="00FD2746"/>
    <w:rsid w:val="00FE0542"/>
    <w:rsid w:val="00FE309A"/>
    <w:rsid w:val="00FE3A30"/>
    <w:rsid w:val="00FF6C33"/>
    <w:rsid w:val="00FF747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260B0"/>
  <w15:chartTrackingRefBased/>
  <w15:docId w15:val="{E7CC7797-FC95-4B9B-AA7B-5032AADC9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339D"/>
    <w:pPr>
      <w:bidi/>
      <w:spacing w:line="400" w:lineRule="exact"/>
      <w:jc w:val="both"/>
    </w:pPr>
    <w:rPr>
      <w:rFonts w:ascii="FrankRuehl" w:hAnsi="FrankRuehl" w:cs="FrankRuehl"/>
      <w:sz w:val="28"/>
      <w:szCs w:val="28"/>
    </w:rPr>
  </w:style>
  <w:style w:type="paragraph" w:styleId="1">
    <w:name w:val="heading 1"/>
    <w:basedOn w:val="a"/>
    <w:next w:val="a"/>
    <w:link w:val="11"/>
    <w:uiPriority w:val="9"/>
    <w:qFormat/>
    <w:rsid w:val="00CB20B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7C0134"/>
    <w:pPr>
      <w:outlineLvl w:val="1"/>
    </w:pPr>
    <w:rPr>
      <w:rFonts w:ascii="FbLivorna" w:hAnsi="FbLivorna" w:cs="FbLivorna"/>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86FA2"/>
    <w:pPr>
      <w:spacing w:after="0" w:line="240" w:lineRule="auto"/>
    </w:pPr>
    <w:rPr>
      <w:rFonts w:ascii="Tahoma" w:hAnsi="Tahoma" w:cs="Tahoma"/>
      <w:sz w:val="18"/>
      <w:szCs w:val="18"/>
    </w:rPr>
  </w:style>
  <w:style w:type="character" w:customStyle="1" w:styleId="a4">
    <w:name w:val="טקסט בלונים תו"/>
    <w:basedOn w:val="a0"/>
    <w:link w:val="a3"/>
    <w:uiPriority w:val="99"/>
    <w:semiHidden/>
    <w:rsid w:val="00186FA2"/>
    <w:rPr>
      <w:rFonts w:ascii="Tahoma" w:hAnsi="Tahoma" w:cs="Tahoma"/>
      <w:sz w:val="18"/>
      <w:szCs w:val="18"/>
    </w:rPr>
  </w:style>
  <w:style w:type="paragraph" w:styleId="a5">
    <w:name w:val="header"/>
    <w:basedOn w:val="a"/>
    <w:link w:val="a6"/>
    <w:uiPriority w:val="99"/>
    <w:unhideWhenUsed/>
    <w:rsid w:val="00186FA2"/>
    <w:pPr>
      <w:tabs>
        <w:tab w:val="center" w:pos="4153"/>
        <w:tab w:val="right" w:pos="8306"/>
      </w:tabs>
      <w:spacing w:after="0" w:line="240" w:lineRule="auto"/>
    </w:pPr>
  </w:style>
  <w:style w:type="character" w:customStyle="1" w:styleId="a6">
    <w:name w:val="כותרת עליונה תו"/>
    <w:basedOn w:val="a0"/>
    <w:link w:val="a5"/>
    <w:uiPriority w:val="99"/>
    <w:rsid w:val="00186FA2"/>
  </w:style>
  <w:style w:type="paragraph" w:styleId="a7">
    <w:name w:val="footer"/>
    <w:basedOn w:val="a"/>
    <w:link w:val="a8"/>
    <w:uiPriority w:val="99"/>
    <w:unhideWhenUsed/>
    <w:rsid w:val="00186FA2"/>
    <w:pPr>
      <w:tabs>
        <w:tab w:val="center" w:pos="4153"/>
        <w:tab w:val="right" w:pos="8306"/>
      </w:tabs>
      <w:spacing w:after="0" w:line="240" w:lineRule="auto"/>
    </w:pPr>
  </w:style>
  <w:style w:type="character" w:customStyle="1" w:styleId="a8">
    <w:name w:val="כותרת תחתונה תו"/>
    <w:basedOn w:val="a0"/>
    <w:link w:val="a7"/>
    <w:uiPriority w:val="99"/>
    <w:rsid w:val="00186FA2"/>
  </w:style>
  <w:style w:type="character" w:styleId="a9">
    <w:name w:val="annotation reference"/>
    <w:basedOn w:val="a0"/>
    <w:uiPriority w:val="99"/>
    <w:semiHidden/>
    <w:unhideWhenUsed/>
    <w:rsid w:val="00CF5E40"/>
    <w:rPr>
      <w:sz w:val="16"/>
      <w:szCs w:val="16"/>
    </w:rPr>
  </w:style>
  <w:style w:type="paragraph" w:styleId="aa">
    <w:name w:val="annotation text"/>
    <w:basedOn w:val="a"/>
    <w:link w:val="ab"/>
    <w:uiPriority w:val="99"/>
    <w:unhideWhenUsed/>
    <w:rsid w:val="00CF5E40"/>
    <w:pPr>
      <w:spacing w:line="240" w:lineRule="auto"/>
    </w:pPr>
    <w:rPr>
      <w:sz w:val="20"/>
      <w:szCs w:val="20"/>
    </w:rPr>
  </w:style>
  <w:style w:type="character" w:customStyle="1" w:styleId="ab">
    <w:name w:val="טקסט הערה תו"/>
    <w:basedOn w:val="a0"/>
    <w:link w:val="aa"/>
    <w:uiPriority w:val="99"/>
    <w:rsid w:val="00CF5E40"/>
    <w:rPr>
      <w:sz w:val="20"/>
      <w:szCs w:val="20"/>
    </w:rPr>
  </w:style>
  <w:style w:type="paragraph" w:styleId="ac">
    <w:name w:val="annotation subject"/>
    <w:basedOn w:val="aa"/>
    <w:next w:val="aa"/>
    <w:link w:val="ad"/>
    <w:uiPriority w:val="99"/>
    <w:semiHidden/>
    <w:unhideWhenUsed/>
    <w:rsid w:val="00CF5E40"/>
    <w:rPr>
      <w:b/>
      <w:bCs/>
    </w:rPr>
  </w:style>
  <w:style w:type="character" w:customStyle="1" w:styleId="ad">
    <w:name w:val="נושא הערה תו"/>
    <w:basedOn w:val="ab"/>
    <w:link w:val="ac"/>
    <w:uiPriority w:val="99"/>
    <w:semiHidden/>
    <w:rsid w:val="00CF5E40"/>
    <w:rPr>
      <w:b/>
      <w:bCs/>
      <w:sz w:val="20"/>
      <w:szCs w:val="20"/>
    </w:rPr>
  </w:style>
  <w:style w:type="paragraph" w:styleId="ae">
    <w:name w:val="Revision"/>
    <w:hidden/>
    <w:uiPriority w:val="99"/>
    <w:semiHidden/>
    <w:rsid w:val="00CF5E40"/>
    <w:pPr>
      <w:spacing w:after="0" w:line="240" w:lineRule="auto"/>
    </w:pPr>
  </w:style>
  <w:style w:type="paragraph" w:customStyle="1" w:styleId="af">
    <w:name w:val="מראה מקום"/>
    <w:basedOn w:val="a"/>
    <w:link w:val="Char"/>
    <w:qFormat/>
    <w:rsid w:val="00E419F7"/>
    <w:rPr>
      <w:rFonts w:asciiTheme="majorBidi" w:hAnsiTheme="majorBidi" w:cstheme="majorBidi"/>
      <w:sz w:val="24"/>
      <w:szCs w:val="24"/>
    </w:rPr>
  </w:style>
  <w:style w:type="paragraph" w:styleId="af0">
    <w:name w:val="footnote text"/>
    <w:basedOn w:val="a"/>
    <w:link w:val="af1"/>
    <w:uiPriority w:val="99"/>
    <w:unhideWhenUsed/>
    <w:rsid w:val="00972C7E"/>
    <w:pPr>
      <w:spacing w:after="0" w:line="240" w:lineRule="auto"/>
    </w:pPr>
    <w:rPr>
      <w:sz w:val="20"/>
      <w:szCs w:val="20"/>
    </w:rPr>
  </w:style>
  <w:style w:type="character" w:customStyle="1" w:styleId="Char">
    <w:name w:val="מראה מקום Char"/>
    <w:basedOn w:val="a0"/>
    <w:link w:val="af"/>
    <w:rsid w:val="00E419F7"/>
    <w:rPr>
      <w:rFonts w:asciiTheme="majorBidi" w:hAnsiTheme="majorBidi" w:cstheme="majorBidi"/>
      <w:sz w:val="24"/>
      <w:szCs w:val="24"/>
    </w:rPr>
  </w:style>
  <w:style w:type="character" w:customStyle="1" w:styleId="af1">
    <w:name w:val="טקסט הערת שוליים תו"/>
    <w:basedOn w:val="a0"/>
    <w:link w:val="af0"/>
    <w:uiPriority w:val="99"/>
    <w:rsid w:val="00972C7E"/>
    <w:rPr>
      <w:sz w:val="20"/>
      <w:szCs w:val="20"/>
    </w:rPr>
  </w:style>
  <w:style w:type="character" w:styleId="af2">
    <w:name w:val="footnote reference"/>
    <w:basedOn w:val="a0"/>
    <w:uiPriority w:val="99"/>
    <w:semiHidden/>
    <w:unhideWhenUsed/>
    <w:rsid w:val="00972C7E"/>
    <w:rPr>
      <w:vertAlign w:val="superscript"/>
    </w:rPr>
  </w:style>
  <w:style w:type="paragraph" w:customStyle="1" w:styleId="af3">
    <w:name w:val="הערות"/>
    <w:basedOn w:val="af0"/>
    <w:link w:val="Char0"/>
    <w:qFormat/>
    <w:rsid w:val="00972C7E"/>
    <w:rPr>
      <w:rFonts w:asciiTheme="majorBidi" w:hAnsiTheme="majorBidi" w:cstheme="majorBidi"/>
      <w:sz w:val="24"/>
      <w:szCs w:val="24"/>
    </w:rPr>
  </w:style>
  <w:style w:type="character" w:customStyle="1" w:styleId="Char0">
    <w:name w:val="הערות Char"/>
    <w:basedOn w:val="af1"/>
    <w:link w:val="af3"/>
    <w:rsid w:val="00972C7E"/>
    <w:rPr>
      <w:rFonts w:asciiTheme="majorBidi" w:hAnsiTheme="majorBidi" w:cstheme="majorBidi"/>
      <w:sz w:val="24"/>
      <w:szCs w:val="24"/>
    </w:rPr>
  </w:style>
  <w:style w:type="character" w:customStyle="1" w:styleId="20">
    <w:name w:val="כותרת 2 תו"/>
    <w:basedOn w:val="a0"/>
    <w:link w:val="2"/>
    <w:uiPriority w:val="9"/>
    <w:rsid w:val="007C0134"/>
    <w:rPr>
      <w:rFonts w:ascii="FbLivorna" w:hAnsi="FbLivorna" w:cs="FbLivorna"/>
      <w:b/>
      <w:bCs/>
      <w:sz w:val="28"/>
      <w:szCs w:val="28"/>
    </w:rPr>
  </w:style>
  <w:style w:type="paragraph" w:customStyle="1" w:styleId="110">
    <w:name w:val="כותרת 11"/>
    <w:basedOn w:val="a"/>
    <w:next w:val="a"/>
    <w:link w:val="10"/>
    <w:uiPriority w:val="9"/>
    <w:qFormat/>
    <w:rsid w:val="00CB20B9"/>
    <w:pPr>
      <w:keepNext/>
      <w:keepLines/>
      <w:spacing w:before="240" w:after="0" w:line="259" w:lineRule="auto"/>
      <w:outlineLvl w:val="0"/>
    </w:pPr>
    <w:rPr>
      <w:rFonts w:ascii="Calibri Light" w:eastAsia="Times New Roman" w:hAnsi="Calibri Light" w:cs="Times New Roman"/>
      <w:color w:val="2F5496"/>
      <w:sz w:val="32"/>
      <w:szCs w:val="32"/>
    </w:rPr>
  </w:style>
  <w:style w:type="numbering" w:customStyle="1" w:styleId="12">
    <w:name w:val="ללא רשימה1"/>
    <w:next w:val="a2"/>
    <w:uiPriority w:val="99"/>
    <w:semiHidden/>
    <w:unhideWhenUsed/>
    <w:rsid w:val="00CB20B9"/>
  </w:style>
  <w:style w:type="paragraph" w:customStyle="1" w:styleId="af4">
    <w:name w:val="מ&quot;מ"/>
    <w:basedOn w:val="a"/>
    <w:link w:val="Char1"/>
    <w:qFormat/>
    <w:rsid w:val="00CB20B9"/>
    <w:pPr>
      <w:spacing w:line="259" w:lineRule="auto"/>
    </w:pPr>
    <w:rPr>
      <w:rFonts w:ascii="Times New Roman" w:hAnsi="Times New Roman" w:cs="Times New Roman"/>
      <w:sz w:val="20"/>
      <w:szCs w:val="20"/>
    </w:rPr>
  </w:style>
  <w:style w:type="character" w:customStyle="1" w:styleId="Char1">
    <w:name w:val="מ&quot;מ Char"/>
    <w:basedOn w:val="a0"/>
    <w:link w:val="af4"/>
    <w:rsid w:val="00CB20B9"/>
    <w:rPr>
      <w:rFonts w:ascii="Times New Roman" w:hAnsi="Times New Roman" w:cs="Times New Roman"/>
      <w:sz w:val="20"/>
      <w:szCs w:val="20"/>
    </w:rPr>
  </w:style>
  <w:style w:type="character" w:customStyle="1" w:styleId="10">
    <w:name w:val="כותרת 1 תו"/>
    <w:basedOn w:val="a0"/>
    <w:link w:val="110"/>
    <w:uiPriority w:val="9"/>
    <w:rsid w:val="00CB20B9"/>
    <w:rPr>
      <w:rFonts w:ascii="Calibri Light" w:eastAsia="Times New Roman" w:hAnsi="Calibri Light" w:cs="Times New Roman"/>
      <w:color w:val="2F5496"/>
      <w:sz w:val="32"/>
      <w:szCs w:val="32"/>
    </w:rPr>
  </w:style>
  <w:style w:type="character" w:customStyle="1" w:styleId="11">
    <w:name w:val="כותרת 1 תו1"/>
    <w:basedOn w:val="a0"/>
    <w:link w:val="1"/>
    <w:uiPriority w:val="9"/>
    <w:rsid w:val="00CB20B9"/>
    <w:rPr>
      <w:rFonts w:asciiTheme="majorHAnsi" w:eastAsiaTheme="majorEastAsia" w:hAnsiTheme="majorHAnsi" w:cstheme="majorBidi"/>
      <w:color w:val="2E74B5" w:themeColor="accent1" w:themeShade="BF"/>
      <w:sz w:val="32"/>
      <w:szCs w:val="32"/>
    </w:rPr>
  </w:style>
  <w:style w:type="paragraph" w:styleId="af5">
    <w:name w:val="TOC Heading"/>
    <w:basedOn w:val="1"/>
    <w:next w:val="a"/>
    <w:uiPriority w:val="39"/>
    <w:unhideWhenUsed/>
    <w:qFormat/>
    <w:rsid w:val="00CB20B9"/>
    <w:pPr>
      <w:spacing w:line="259" w:lineRule="auto"/>
      <w:jc w:val="left"/>
      <w:outlineLvl w:val="9"/>
    </w:pPr>
    <w:rPr>
      <w:rtl/>
      <w:cs/>
    </w:rPr>
  </w:style>
  <w:style w:type="paragraph" w:styleId="TOC1">
    <w:name w:val="toc 1"/>
    <w:basedOn w:val="a"/>
    <w:next w:val="a"/>
    <w:autoRedefine/>
    <w:uiPriority w:val="39"/>
    <w:unhideWhenUsed/>
    <w:rsid w:val="00CB20B9"/>
    <w:pPr>
      <w:tabs>
        <w:tab w:val="right" w:leader="dot" w:pos="9350"/>
      </w:tabs>
      <w:spacing w:after="100" w:line="259" w:lineRule="auto"/>
    </w:pPr>
    <w:rPr>
      <w:rFonts w:ascii="12" w:hAnsi="12" w:cs="PFT_Frank"/>
      <w:sz w:val="22"/>
      <w:szCs w:val="22"/>
    </w:rPr>
  </w:style>
  <w:style w:type="character" w:customStyle="1" w:styleId="Hyperlink1">
    <w:name w:val="Hyperlink1"/>
    <w:basedOn w:val="a0"/>
    <w:uiPriority w:val="99"/>
    <w:unhideWhenUsed/>
    <w:rsid w:val="00CB20B9"/>
    <w:rPr>
      <w:color w:val="0563C1"/>
      <w:u w:val="single"/>
    </w:rPr>
  </w:style>
  <w:style w:type="character" w:styleId="Hyperlink">
    <w:name w:val="Hyperlink"/>
    <w:basedOn w:val="a0"/>
    <w:uiPriority w:val="99"/>
    <w:semiHidden/>
    <w:unhideWhenUsed/>
    <w:rsid w:val="00CB20B9"/>
    <w:rPr>
      <w:color w:val="0563C1" w:themeColor="hyperlink"/>
      <w:u w:val="single"/>
    </w:rPr>
  </w:style>
  <w:style w:type="paragraph" w:styleId="af6">
    <w:name w:val="No Spacing"/>
    <w:aliases w:val="סימן"/>
    <w:basedOn w:val="1"/>
    <w:uiPriority w:val="1"/>
    <w:qFormat/>
    <w:rsid w:val="00472F8F"/>
    <w:pPr>
      <w:spacing w:after="120" w:line="240" w:lineRule="auto"/>
      <w:jc w:val="center"/>
    </w:pPr>
    <w:rPr>
      <w:rFonts w:ascii="FrankRuehl" w:hAnsi="FrankRuehl" w:cs="PFT_Vilna"/>
      <w:color w:val="auto"/>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81ED12-BF98-4775-AAA8-5DF3C4764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3127</TotalTime>
  <Pages>4</Pages>
  <Words>946</Words>
  <Characters>4731</Characters>
  <Application>Microsoft Office Word</Application>
  <DocSecurity>0</DocSecurity>
  <Lines>39</Lines>
  <Paragraphs>11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ר. ברים</dc:creator>
  <cp:keywords/>
  <dc:description/>
  <cp:lastModifiedBy>ר. ברים</cp:lastModifiedBy>
  <cp:revision>46</cp:revision>
  <cp:lastPrinted>2023-05-08T14:35:00Z</cp:lastPrinted>
  <dcterms:created xsi:type="dcterms:W3CDTF">2023-06-04T16:30:00Z</dcterms:created>
  <dcterms:modified xsi:type="dcterms:W3CDTF">2023-07-12T18:47:00Z</dcterms:modified>
</cp:coreProperties>
</file>