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EEFF" w14:textId="77777777" w:rsidR="008E4B45" w:rsidRPr="008E4B45" w:rsidRDefault="008E4B45" w:rsidP="008E4B45">
      <w:pPr>
        <w:spacing w:line="360" w:lineRule="auto"/>
        <w:jc w:val="both"/>
        <w:rPr>
          <w:rFonts w:ascii="David" w:eastAsia="Times New Roman" w:hAnsi="David" w:cs="DBS-Keren"/>
          <w:sz w:val="44"/>
          <w:szCs w:val="44"/>
          <w:rtl/>
        </w:rPr>
      </w:pPr>
      <w:r w:rsidRPr="008E4B45">
        <w:rPr>
          <w:rFonts w:ascii="David" w:eastAsia="Times New Roman" w:hAnsi="David" w:cs="DBS-Keren"/>
          <w:sz w:val="44"/>
          <w:szCs w:val="44"/>
          <w:vertAlign w:val="superscript"/>
          <w:rtl/>
        </w:rPr>
        <w:footnoteReference w:id="1"/>
      </w:r>
      <w:r w:rsidRPr="008E4B45">
        <w:rPr>
          <w:rFonts w:ascii="David" w:eastAsia="Times New Roman" w:hAnsi="David" w:cs="DBS-Keren" w:hint="cs"/>
          <w:sz w:val="44"/>
          <w:szCs w:val="44"/>
          <w:rtl/>
        </w:rPr>
        <w:t xml:space="preserve">אינו אסור, דאף כי כל יום בפני עצמו מקרי ודאי יו"ט, אבל אמרינן </w:t>
      </w:r>
      <w:proofErr w:type="spellStart"/>
      <w:r w:rsidRPr="008E4B45">
        <w:rPr>
          <w:rFonts w:ascii="David" w:eastAsia="Times New Roman" w:hAnsi="David" w:cs="DBS-Keren" w:hint="cs"/>
          <w:sz w:val="44"/>
          <w:szCs w:val="44"/>
          <w:rtl/>
        </w:rPr>
        <w:t>דבשני</w:t>
      </w:r>
      <w:proofErr w:type="spellEnd"/>
      <w:r w:rsidRPr="008E4B45">
        <w:rPr>
          <w:rFonts w:ascii="David" w:eastAsia="Times New Roman" w:hAnsi="David" w:cs="DBS-Keren" w:hint="cs"/>
          <w:sz w:val="44"/>
          <w:szCs w:val="44"/>
          <w:rtl/>
        </w:rPr>
        <w:t xml:space="preserve"> הימים ביחד הוה בודאי אחד חול.</w:t>
      </w:r>
    </w:p>
    <w:p w14:paraId="45FB6AC1" w14:textId="77777777" w:rsidR="008E4B45" w:rsidRPr="008E4B45" w:rsidRDefault="008E4B45" w:rsidP="008E4B45">
      <w:pPr>
        <w:spacing w:line="360" w:lineRule="auto"/>
        <w:jc w:val="both"/>
        <w:rPr>
          <w:rFonts w:ascii="David" w:eastAsia="Times New Roman" w:hAnsi="David" w:cs="DBS-Keren"/>
          <w:sz w:val="44"/>
          <w:szCs w:val="44"/>
          <w:rtl/>
        </w:rPr>
      </w:pPr>
      <w:r w:rsidRPr="008E4B45">
        <w:rPr>
          <w:rFonts w:ascii="David" w:eastAsia="Times New Roman" w:hAnsi="David" w:cs="DBS-Keren" w:hint="cs"/>
          <w:sz w:val="44"/>
          <w:szCs w:val="44"/>
          <w:rtl/>
        </w:rPr>
        <w:t xml:space="preserve">אבל הכא גבי ערוב, כל יום בפני עצמו הוה ודאי יו"ט מצד ספק, וצריך להיות לו שביתה ודאית מדרבנן בכל יום, וכיון </w:t>
      </w:r>
      <w:proofErr w:type="spellStart"/>
      <w:r w:rsidRPr="008E4B45">
        <w:rPr>
          <w:rFonts w:ascii="David" w:eastAsia="Times New Roman" w:hAnsi="David" w:cs="DBS-Keren" w:hint="cs"/>
          <w:sz w:val="44"/>
          <w:szCs w:val="44"/>
          <w:rtl/>
        </w:rPr>
        <w:t>דביום</w:t>
      </w:r>
      <w:proofErr w:type="spellEnd"/>
      <w:r w:rsidRPr="008E4B45">
        <w:rPr>
          <w:rFonts w:ascii="David" w:eastAsia="Times New Roman" w:hAnsi="David" w:cs="DBS-Keren" w:hint="cs"/>
          <w:sz w:val="44"/>
          <w:szCs w:val="44"/>
          <w:rtl/>
        </w:rPr>
        <w:t xml:space="preserve"> הראשון יש לו שביתה ודאית, אינו יכול לילך למקום עירובו השני, וגם בבין השמשות יהא ההיתר משום שמא הוא לילה וקונה לו שביתה, לא הוה עירובו ערוב. </w:t>
      </w:r>
    </w:p>
    <w:p w14:paraId="593B37D7" w14:textId="77777777" w:rsidR="008E4B45" w:rsidRPr="008E4B45" w:rsidRDefault="008E4B45" w:rsidP="008E4B45">
      <w:pPr>
        <w:spacing w:line="360" w:lineRule="auto"/>
        <w:jc w:val="both"/>
        <w:rPr>
          <w:rFonts w:ascii="David" w:eastAsia="Times New Roman" w:hAnsi="David" w:cs="DBS-Keren"/>
          <w:sz w:val="44"/>
          <w:szCs w:val="44"/>
          <w:rtl/>
        </w:rPr>
      </w:pPr>
      <w:r w:rsidRPr="008E4B45">
        <w:rPr>
          <w:rFonts w:ascii="David" w:eastAsia="Times New Roman" w:hAnsi="David" w:cs="DBS-Keren" w:hint="cs"/>
          <w:sz w:val="44"/>
          <w:szCs w:val="44"/>
          <w:rtl/>
        </w:rPr>
        <w:t>וגם הוה כמו תרוצו של התוס'</w:t>
      </w:r>
      <w:r w:rsidRPr="008E4B45">
        <w:rPr>
          <w:rFonts w:ascii="David" w:eastAsia="Times New Roman" w:hAnsi="David" w:cs="DBS-Keren"/>
          <w:sz w:val="44"/>
          <w:szCs w:val="44"/>
          <w:vertAlign w:val="superscript"/>
          <w:rtl/>
        </w:rPr>
        <w:footnoteReference w:id="2"/>
      </w:r>
      <w:r w:rsidRPr="008E4B45">
        <w:rPr>
          <w:rFonts w:ascii="David" w:eastAsia="Times New Roman" w:hAnsi="David" w:cs="DBS-Keren" w:hint="cs"/>
          <w:sz w:val="44"/>
          <w:szCs w:val="44"/>
          <w:rtl/>
        </w:rPr>
        <w:t xml:space="preserve"> דהוה כמו שמניח </w:t>
      </w:r>
      <w:proofErr w:type="spellStart"/>
      <w:r w:rsidRPr="008E4B45">
        <w:rPr>
          <w:rFonts w:ascii="David" w:eastAsia="Times New Roman" w:hAnsi="David" w:cs="DBS-Keren" w:hint="cs"/>
          <w:sz w:val="44"/>
          <w:szCs w:val="44"/>
          <w:rtl/>
        </w:rPr>
        <w:t>ערובו</w:t>
      </w:r>
      <w:proofErr w:type="spellEnd"/>
      <w:r w:rsidRPr="008E4B45">
        <w:rPr>
          <w:rFonts w:ascii="David" w:eastAsia="Times New Roman" w:hAnsi="David" w:cs="DBS-Keren" w:hint="cs"/>
          <w:sz w:val="44"/>
          <w:szCs w:val="44"/>
          <w:rtl/>
        </w:rPr>
        <w:t xml:space="preserve"> חוץ לתחום, וד"ל</w:t>
      </w:r>
      <w:r w:rsidRPr="008E4B45">
        <w:rPr>
          <w:rFonts w:ascii="David" w:eastAsia="Times New Roman" w:hAnsi="David" w:cs="DBS-Keren"/>
          <w:sz w:val="44"/>
          <w:szCs w:val="44"/>
          <w:vertAlign w:val="superscript"/>
          <w:rtl/>
        </w:rPr>
        <w:footnoteReference w:id="3"/>
      </w:r>
      <w:r w:rsidRPr="008E4B45">
        <w:rPr>
          <w:rFonts w:ascii="David" w:eastAsia="Times New Roman" w:hAnsi="David" w:cs="DBS-Keren" w:hint="cs"/>
          <w:sz w:val="44"/>
          <w:szCs w:val="44"/>
          <w:rtl/>
        </w:rPr>
        <w:t>.</w:t>
      </w:r>
    </w:p>
    <w:p w14:paraId="4FDA291E" w14:textId="77777777" w:rsidR="008E4B45" w:rsidRPr="008E4B45" w:rsidRDefault="008E4B45" w:rsidP="008E4B45">
      <w:pPr>
        <w:spacing w:line="360" w:lineRule="auto"/>
        <w:jc w:val="both"/>
        <w:rPr>
          <w:rFonts w:ascii="David" w:eastAsia="Times New Roman" w:hAnsi="David" w:cs="DBS-Keren"/>
          <w:sz w:val="44"/>
          <w:szCs w:val="44"/>
          <w:rtl/>
        </w:rPr>
      </w:pPr>
      <w:r w:rsidRPr="008E4B45">
        <w:rPr>
          <w:rFonts w:ascii="David" w:eastAsia="Times New Roman" w:hAnsi="David" w:cs="DBS-Keren" w:hint="cs"/>
          <w:sz w:val="44"/>
          <w:szCs w:val="44"/>
          <w:rtl/>
        </w:rPr>
        <w:lastRenderedPageBreak/>
        <w:t xml:space="preserve">ולא מבעיא לשיטת הרמב"ם, </w:t>
      </w:r>
      <w:proofErr w:type="spellStart"/>
      <w:r w:rsidRPr="008E4B45">
        <w:rPr>
          <w:rFonts w:ascii="David" w:eastAsia="Times New Roman" w:hAnsi="David" w:cs="DBS-Keren" w:hint="cs"/>
          <w:sz w:val="44"/>
          <w:szCs w:val="44"/>
          <w:rtl/>
        </w:rPr>
        <w:t>דפוסק</w:t>
      </w:r>
      <w:proofErr w:type="spellEnd"/>
      <w:r w:rsidRPr="008E4B45">
        <w:rPr>
          <w:rFonts w:ascii="David" w:eastAsia="Times New Roman" w:hAnsi="David" w:cs="DBS-Keren"/>
          <w:sz w:val="44"/>
          <w:szCs w:val="44"/>
          <w:vertAlign w:val="superscript"/>
          <w:rtl/>
        </w:rPr>
        <w:footnoteReference w:id="4"/>
      </w:r>
      <w:r w:rsidRPr="008E4B45">
        <w:rPr>
          <w:rFonts w:ascii="David" w:eastAsia="Times New Roman" w:hAnsi="David" w:cs="DBS-Keren" w:hint="cs"/>
          <w:sz w:val="44"/>
          <w:szCs w:val="44"/>
          <w:rtl/>
        </w:rPr>
        <w:t xml:space="preserve"> דבזמן הזה כיון </w:t>
      </w:r>
      <w:proofErr w:type="spellStart"/>
      <w:r w:rsidRPr="008E4B45">
        <w:rPr>
          <w:rFonts w:ascii="David" w:eastAsia="Times New Roman" w:hAnsi="David" w:cs="DBS-Keren" w:hint="cs"/>
          <w:sz w:val="44"/>
          <w:szCs w:val="44"/>
          <w:rtl/>
        </w:rPr>
        <w:t>דבקיאין</w:t>
      </w:r>
      <w:proofErr w:type="spellEnd"/>
      <w:r w:rsidRPr="008E4B45">
        <w:rPr>
          <w:rFonts w:ascii="David" w:eastAsia="Times New Roman" w:hAnsi="David" w:cs="DBS-Keren" w:hint="cs"/>
          <w:sz w:val="44"/>
          <w:szCs w:val="44"/>
          <w:rtl/>
        </w:rPr>
        <w:t xml:space="preserve"> </w:t>
      </w:r>
      <w:proofErr w:type="spellStart"/>
      <w:r w:rsidRPr="008E4B45">
        <w:rPr>
          <w:rFonts w:ascii="David" w:eastAsia="Times New Roman" w:hAnsi="David" w:cs="DBS-Keren" w:hint="cs"/>
          <w:sz w:val="44"/>
          <w:szCs w:val="44"/>
          <w:rtl/>
        </w:rPr>
        <w:t>בקביעא</w:t>
      </w:r>
      <w:proofErr w:type="spellEnd"/>
      <w:r w:rsidRPr="008E4B45">
        <w:rPr>
          <w:rFonts w:ascii="David" w:eastAsia="Times New Roman" w:hAnsi="David" w:cs="DBS-Keren" w:hint="cs"/>
          <w:sz w:val="44"/>
          <w:szCs w:val="44"/>
          <w:rtl/>
        </w:rPr>
        <w:t xml:space="preserve"> </w:t>
      </w:r>
      <w:proofErr w:type="spellStart"/>
      <w:r w:rsidRPr="008E4B45">
        <w:rPr>
          <w:rFonts w:ascii="David" w:eastAsia="Times New Roman" w:hAnsi="David" w:cs="DBS-Keren" w:hint="cs"/>
          <w:sz w:val="44"/>
          <w:szCs w:val="44"/>
          <w:rtl/>
        </w:rPr>
        <w:t>דירחא</w:t>
      </w:r>
      <w:proofErr w:type="spellEnd"/>
      <w:r w:rsidRPr="008E4B45">
        <w:rPr>
          <w:rFonts w:ascii="David" w:eastAsia="Times New Roman" w:hAnsi="David" w:cs="DBS-Keren" w:hint="cs"/>
          <w:sz w:val="44"/>
          <w:szCs w:val="44"/>
          <w:rtl/>
        </w:rPr>
        <w:t xml:space="preserve"> אז לא יוכל לערב </w:t>
      </w:r>
      <w:proofErr w:type="spellStart"/>
      <w:r w:rsidRPr="008E4B45">
        <w:rPr>
          <w:rFonts w:ascii="David" w:eastAsia="Times New Roman" w:hAnsi="David" w:cs="DBS-Keren" w:hint="cs"/>
          <w:sz w:val="44"/>
          <w:szCs w:val="44"/>
          <w:rtl/>
        </w:rPr>
        <w:t>ערובי</w:t>
      </w:r>
      <w:proofErr w:type="spellEnd"/>
      <w:r w:rsidRPr="008E4B45">
        <w:rPr>
          <w:rFonts w:ascii="David" w:eastAsia="Times New Roman" w:hAnsi="David" w:cs="DBS-Keren" w:hint="cs"/>
          <w:sz w:val="44"/>
          <w:szCs w:val="44"/>
          <w:rtl/>
        </w:rPr>
        <w:t xml:space="preserve"> תבשילין על תנאי, ומ"מ גבי ביצה פוסק</w:t>
      </w:r>
      <w:r w:rsidRPr="008E4B45">
        <w:rPr>
          <w:rFonts w:ascii="David" w:eastAsia="Times New Roman" w:hAnsi="David" w:cs="DBS-Keren"/>
          <w:sz w:val="44"/>
          <w:szCs w:val="44"/>
          <w:vertAlign w:val="superscript"/>
          <w:rtl/>
        </w:rPr>
        <w:footnoteReference w:id="5"/>
      </w:r>
      <w:r w:rsidRPr="008E4B45">
        <w:rPr>
          <w:rFonts w:ascii="David" w:eastAsia="Times New Roman" w:hAnsi="David" w:cs="DBS-Keren" w:hint="cs"/>
          <w:sz w:val="44"/>
          <w:szCs w:val="44"/>
          <w:rtl/>
        </w:rPr>
        <w:t xml:space="preserve"> </w:t>
      </w:r>
      <w:proofErr w:type="spellStart"/>
      <w:r w:rsidRPr="008E4B45">
        <w:rPr>
          <w:rFonts w:ascii="David" w:eastAsia="Times New Roman" w:hAnsi="David" w:cs="DBS-Keren" w:hint="cs"/>
          <w:sz w:val="44"/>
          <w:szCs w:val="44"/>
          <w:rtl/>
        </w:rPr>
        <w:t>דנולדה</w:t>
      </w:r>
      <w:proofErr w:type="spellEnd"/>
      <w:r w:rsidRPr="008E4B45">
        <w:rPr>
          <w:rFonts w:ascii="David" w:eastAsia="Times New Roman" w:hAnsi="David" w:cs="DBS-Keren" w:hint="cs"/>
          <w:sz w:val="44"/>
          <w:szCs w:val="44"/>
          <w:rtl/>
        </w:rPr>
        <w:t xml:space="preserve"> בזה מותרת בזה ולא הוה הכנה. </w:t>
      </w:r>
      <w:proofErr w:type="spellStart"/>
      <w:r w:rsidRPr="008E4B45">
        <w:rPr>
          <w:rFonts w:ascii="David" w:eastAsia="Times New Roman" w:hAnsi="David" w:cs="DBS-Keren" w:hint="cs"/>
          <w:sz w:val="44"/>
          <w:szCs w:val="44"/>
          <w:rtl/>
        </w:rPr>
        <w:t>ויעוין</w:t>
      </w:r>
      <w:proofErr w:type="spellEnd"/>
      <w:r w:rsidRPr="008E4B45">
        <w:rPr>
          <w:rFonts w:ascii="David" w:eastAsia="Times New Roman" w:hAnsi="David" w:cs="DBS-Keren" w:hint="cs"/>
          <w:sz w:val="44"/>
          <w:szCs w:val="44"/>
          <w:rtl/>
        </w:rPr>
        <w:t xml:space="preserve"> </w:t>
      </w:r>
      <w:bookmarkStart w:id="0" w:name="_Hlk152241148"/>
      <w:r w:rsidRPr="008E4B45">
        <w:rPr>
          <w:rFonts w:ascii="David" w:eastAsia="Times New Roman" w:hAnsi="David" w:cs="DBS-Keren" w:hint="cs"/>
          <w:sz w:val="44"/>
          <w:szCs w:val="44"/>
          <w:rtl/>
        </w:rPr>
        <w:t>בלחם משנה</w:t>
      </w:r>
      <w:r w:rsidRPr="008E4B45">
        <w:rPr>
          <w:rFonts w:ascii="David" w:eastAsia="Times New Roman" w:hAnsi="David" w:cs="DBS-Keren"/>
          <w:sz w:val="44"/>
          <w:szCs w:val="44"/>
          <w:vertAlign w:val="superscript"/>
          <w:rtl/>
        </w:rPr>
        <w:footnoteReference w:id="6"/>
      </w:r>
      <w:r w:rsidRPr="008E4B45">
        <w:rPr>
          <w:rFonts w:ascii="David" w:eastAsia="Times New Roman" w:hAnsi="David" w:cs="DBS-Keren" w:hint="cs"/>
          <w:sz w:val="44"/>
          <w:szCs w:val="44"/>
          <w:rtl/>
        </w:rPr>
        <w:t xml:space="preserve"> </w:t>
      </w:r>
      <w:proofErr w:type="spellStart"/>
      <w:r w:rsidRPr="008E4B45">
        <w:rPr>
          <w:rFonts w:ascii="David" w:eastAsia="Times New Roman" w:hAnsi="David" w:cs="DBS-Keren" w:hint="cs"/>
          <w:sz w:val="44"/>
          <w:szCs w:val="44"/>
          <w:rtl/>
        </w:rPr>
        <w:t>דמקשי</w:t>
      </w:r>
      <w:proofErr w:type="spellEnd"/>
      <w:r w:rsidRPr="008E4B45">
        <w:rPr>
          <w:rFonts w:ascii="David" w:eastAsia="Times New Roman" w:hAnsi="David" w:cs="DBS-Keren" w:hint="cs"/>
          <w:sz w:val="44"/>
          <w:szCs w:val="44"/>
          <w:rtl/>
        </w:rPr>
        <w:t xml:space="preserve"> זאת, ותירוצו בלתי מובן. </w:t>
      </w:r>
    </w:p>
    <w:p w14:paraId="7F6840F5" w14:textId="77777777" w:rsidR="008E4B45" w:rsidRPr="008E4B45" w:rsidRDefault="008E4B45" w:rsidP="008E4B45">
      <w:pPr>
        <w:spacing w:line="360" w:lineRule="auto"/>
        <w:jc w:val="both"/>
        <w:rPr>
          <w:rFonts w:ascii="David" w:eastAsia="Times New Roman" w:hAnsi="David" w:cs="DBS-Keren"/>
          <w:sz w:val="44"/>
          <w:szCs w:val="44"/>
          <w:rtl/>
        </w:rPr>
      </w:pPr>
      <w:r w:rsidRPr="008E4B45">
        <w:rPr>
          <w:rFonts w:ascii="David" w:eastAsia="Times New Roman" w:hAnsi="David" w:cs="DBS-Keren" w:hint="cs"/>
          <w:sz w:val="44"/>
          <w:szCs w:val="44"/>
          <w:rtl/>
        </w:rPr>
        <w:t xml:space="preserve">רק פשוט, דלא דמי ביצה לעירוב, דגבי ביצה לא הוה אסור עכשיו יותר מקודם דידעינן, דהאיסור הוא שמא יחזור הדבר לקלקולו, והוה </w:t>
      </w:r>
      <w:proofErr w:type="spellStart"/>
      <w:r w:rsidRPr="008E4B45">
        <w:rPr>
          <w:rFonts w:ascii="David" w:eastAsia="Times New Roman" w:hAnsi="David" w:cs="DBS-Keren" w:hint="cs"/>
          <w:sz w:val="44"/>
          <w:szCs w:val="44"/>
          <w:rtl/>
        </w:rPr>
        <w:t>כדמעיקרא</w:t>
      </w:r>
      <w:proofErr w:type="spellEnd"/>
      <w:r w:rsidRPr="008E4B45">
        <w:rPr>
          <w:rFonts w:ascii="David" w:eastAsia="Times New Roman" w:hAnsi="David" w:cs="DBS-Keren" w:hint="cs"/>
          <w:sz w:val="44"/>
          <w:szCs w:val="44"/>
          <w:rtl/>
        </w:rPr>
        <w:t xml:space="preserve">, לא נוכל לומר דהוה הכנה מיו"ט ליו"ט, דלענין זה לא יהא מקרי רק יום אחד יו"ט, אבל גבי עירוב, דכל ההיתר הוא העירוב, ולא יוכל עכשיו לעשות עירוב, משום </w:t>
      </w:r>
      <w:proofErr w:type="spellStart"/>
      <w:r w:rsidRPr="008E4B45">
        <w:rPr>
          <w:rFonts w:ascii="David" w:eastAsia="Times New Roman" w:hAnsi="David" w:cs="DBS-Keren" w:hint="cs"/>
          <w:sz w:val="44"/>
          <w:szCs w:val="44"/>
          <w:rtl/>
        </w:rPr>
        <w:t>דיום</w:t>
      </w:r>
      <w:proofErr w:type="spellEnd"/>
      <w:r w:rsidRPr="008E4B45">
        <w:rPr>
          <w:rFonts w:ascii="David" w:eastAsia="Times New Roman" w:hAnsi="David" w:cs="DBS-Keren" w:hint="cs"/>
          <w:sz w:val="44"/>
          <w:szCs w:val="44"/>
          <w:rtl/>
        </w:rPr>
        <w:t xml:space="preserve"> ראשון ודאי קודש, ובלי עירוב אסור לבשל. </w:t>
      </w:r>
    </w:p>
    <w:p w14:paraId="5D90E7C5" w14:textId="77777777" w:rsidR="008E4B45" w:rsidRPr="008E4B45" w:rsidRDefault="008E4B45" w:rsidP="008E4B45">
      <w:pPr>
        <w:spacing w:line="360" w:lineRule="auto"/>
        <w:jc w:val="both"/>
        <w:rPr>
          <w:rFonts w:ascii="David" w:eastAsia="Times New Roman" w:hAnsi="David" w:cs="DBS-Keren"/>
          <w:sz w:val="44"/>
          <w:szCs w:val="44"/>
        </w:rPr>
      </w:pPr>
      <w:r w:rsidRPr="008E4B45">
        <w:rPr>
          <w:rFonts w:ascii="David" w:eastAsia="Times New Roman" w:hAnsi="David" w:cs="DBS-Keren" w:hint="cs"/>
          <w:sz w:val="44"/>
          <w:szCs w:val="44"/>
          <w:rtl/>
        </w:rPr>
        <w:lastRenderedPageBreak/>
        <w:t>ואף לפי דברי הראב"ד והש"ע, דגם גבי עירובי תבשילין יוכל להתנות, ג"כ חילוק זה נכון.</w:t>
      </w:r>
    </w:p>
    <w:bookmarkEnd w:id="0"/>
    <w:p w14:paraId="4C4E2374" w14:textId="77777777" w:rsidR="0046016F" w:rsidRPr="008E4B45" w:rsidRDefault="0046016F"/>
    <w:sectPr w:rsidR="0046016F" w:rsidRPr="008E4B45" w:rsidSect="007578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9766" w14:textId="77777777" w:rsidR="008E4B45" w:rsidRDefault="008E4B45" w:rsidP="008E4B45">
      <w:pPr>
        <w:spacing w:after="0" w:line="240" w:lineRule="auto"/>
      </w:pPr>
      <w:r>
        <w:separator/>
      </w:r>
    </w:p>
  </w:endnote>
  <w:endnote w:type="continuationSeparator" w:id="0">
    <w:p w14:paraId="0F6F23A3" w14:textId="77777777" w:rsidR="008E4B45" w:rsidRDefault="008E4B45" w:rsidP="008E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DBS-Keren">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2E1C1" w14:textId="77777777" w:rsidR="008E4B45" w:rsidRDefault="008E4B45" w:rsidP="008E4B45">
      <w:pPr>
        <w:spacing w:after="0" w:line="240" w:lineRule="auto"/>
      </w:pPr>
      <w:r>
        <w:separator/>
      </w:r>
    </w:p>
  </w:footnote>
  <w:footnote w:type="continuationSeparator" w:id="0">
    <w:p w14:paraId="2EDD995F" w14:textId="77777777" w:rsidR="008E4B45" w:rsidRDefault="008E4B45" w:rsidP="008E4B45">
      <w:pPr>
        <w:spacing w:after="0" w:line="240" w:lineRule="auto"/>
      </w:pPr>
      <w:r>
        <w:continuationSeparator/>
      </w:r>
    </w:p>
  </w:footnote>
  <w:footnote w:id="1">
    <w:p w14:paraId="1B1858A5" w14:textId="77777777" w:rsidR="008E4B45" w:rsidRDefault="008E4B45" w:rsidP="008E4B45">
      <w:pPr>
        <w:pStyle w:val="a3"/>
        <w:bidi/>
        <w:jc w:val="left"/>
        <w:rPr>
          <w:rFonts w:hint="cs"/>
          <w:rtl/>
        </w:rPr>
      </w:pPr>
      <w:r>
        <w:rPr>
          <w:rStyle w:val="af1"/>
        </w:rPr>
        <w:footnoteRef/>
      </w:r>
      <w:r>
        <w:rPr>
          <w:rtl/>
        </w:rPr>
        <w:t xml:space="preserve"> </w:t>
      </w:r>
      <w:r>
        <w:rPr>
          <w:rFonts w:hint="cs"/>
          <w:rtl/>
        </w:rPr>
        <w:t>חסר תחילת הדברים. וביאור הדברים מובן קצת מתוך ההמשך.</w:t>
      </w:r>
    </w:p>
  </w:footnote>
  <w:footnote w:id="2">
    <w:p w14:paraId="100D70E2" w14:textId="77777777" w:rsidR="008E4B45" w:rsidRDefault="008E4B45" w:rsidP="008E4B45">
      <w:pPr>
        <w:pStyle w:val="a3"/>
        <w:bidi/>
        <w:jc w:val="left"/>
        <w:rPr>
          <w:rFonts w:hint="cs"/>
        </w:rPr>
      </w:pPr>
      <w:r>
        <w:rPr>
          <w:rStyle w:val="af1"/>
        </w:rPr>
        <w:footnoteRef/>
      </w:r>
      <w:r>
        <w:rPr>
          <w:rtl/>
        </w:rPr>
        <w:t xml:space="preserve"> </w:t>
      </w:r>
      <w:r>
        <w:rPr>
          <w:rFonts w:hint="cs"/>
          <w:rtl/>
        </w:rPr>
        <w:t>ביצה י"ז ע"א ד"ה מאי.</w:t>
      </w:r>
    </w:p>
  </w:footnote>
  <w:footnote w:id="3">
    <w:p w14:paraId="6EB057C1" w14:textId="77777777" w:rsidR="008E4B45" w:rsidRPr="002152E0" w:rsidRDefault="008E4B45" w:rsidP="008E4B45">
      <w:pPr>
        <w:pStyle w:val="a3"/>
        <w:bidi/>
        <w:jc w:val="left"/>
        <w:rPr>
          <w:b/>
          <w:bCs/>
          <w:sz w:val="28"/>
          <w:szCs w:val="28"/>
          <w:rtl/>
        </w:rPr>
      </w:pPr>
      <w:r>
        <w:rPr>
          <w:rStyle w:val="af1"/>
        </w:rPr>
        <w:footnoteRef/>
      </w:r>
      <w:r>
        <w:rPr>
          <w:rtl/>
        </w:rPr>
        <w:t xml:space="preserve"> </w:t>
      </w:r>
      <w:r>
        <w:rPr>
          <w:rFonts w:hint="cs"/>
          <w:rtl/>
        </w:rPr>
        <w:t xml:space="preserve">רבינו חוזר שוב על אותה סברא, בתוספת ביאור, וגם כאן חסר תחילת הדברים. וז"ל: </w:t>
      </w:r>
      <w:r w:rsidRPr="002152E0">
        <w:rPr>
          <w:rFonts w:hint="cs"/>
          <w:b/>
          <w:bCs/>
          <w:sz w:val="28"/>
          <w:szCs w:val="28"/>
          <w:rtl/>
        </w:rPr>
        <w:t xml:space="preserve">[...] </w:t>
      </w:r>
      <w:r w:rsidRPr="00F439BE">
        <w:rPr>
          <w:rFonts w:ascii="David" w:eastAsia="Calibri" w:hAnsi="David" w:cs="David" w:hint="cs"/>
          <w:b/>
          <w:bCs/>
          <w:sz w:val="28"/>
          <w:szCs w:val="28"/>
          <w:rtl/>
        </w:rPr>
        <w:t>אמרינן ממ"נ, אז אמרינן, דאף בכל אחד בפני עצמו הוה יו"ט ודאי, אבל שניהם ביחד לא הוו יו"ט בוודאי, ואי אפשר להיות כי יולד או צד ביו"ט ונאכל ביו"ט, רק אשר נולד ביו"ט נאכל בחול, או אם נאכל ביו"ט הוה נולד בחול</w:t>
      </w:r>
      <w:r w:rsidRPr="002152E0">
        <w:rPr>
          <w:rFonts w:hint="cs"/>
          <w:b/>
          <w:bCs/>
          <w:sz w:val="28"/>
          <w:szCs w:val="28"/>
          <w:rtl/>
        </w:rPr>
        <w:t>.</w:t>
      </w:r>
    </w:p>
    <w:p w14:paraId="7E237627" w14:textId="77777777" w:rsidR="008E4B45" w:rsidRPr="008E4B45" w:rsidRDefault="008E4B45" w:rsidP="008E4B45">
      <w:pPr>
        <w:pStyle w:val="a3"/>
        <w:bidi/>
        <w:jc w:val="left"/>
        <w:rPr>
          <w:rFonts w:ascii="David" w:eastAsia="Calibri" w:hAnsi="David" w:cs="David" w:hint="cs"/>
          <w:b/>
          <w:bCs/>
          <w:sz w:val="28"/>
          <w:szCs w:val="28"/>
          <w:rtl/>
        </w:rPr>
      </w:pPr>
      <w:r w:rsidRPr="00243AB8">
        <w:rPr>
          <w:rFonts w:ascii="David" w:eastAsia="Calibri" w:hAnsi="David" w:cs="David" w:hint="cs"/>
          <w:b/>
          <w:bCs/>
          <w:sz w:val="28"/>
          <w:szCs w:val="28"/>
          <w:rtl/>
        </w:rPr>
        <w:t xml:space="preserve">אבל גבי עירוב, לכל יום בפ"ע עשו רבנן מצד ספק ודאי יו"ט, וצריך כל יום ודאי שביתה, ולא נוכל לומר "ממ"נ אם היום הראשון קודש אז השני חול וא"צ לערוב", אבל הלא מ"מ מצד ספק עשו רבנן ליום השני יו"ט, וצריך שביתה. וכן לא נוכל לומר, "אם השני יו"ט אז לא צריך לעירוב ביום ראשון ואין לו שביתה", אבל הלא מ"מ עשו רבנן מצד ספק ליו"ט, וצריך ערוב, וא"כ לא שייך </w:t>
      </w:r>
      <w:proofErr w:type="spellStart"/>
      <w:r w:rsidRPr="00243AB8">
        <w:rPr>
          <w:rFonts w:ascii="David" w:eastAsia="Calibri" w:hAnsi="David" w:cs="David" w:hint="cs"/>
          <w:b/>
          <w:bCs/>
          <w:sz w:val="28"/>
          <w:szCs w:val="28"/>
          <w:rtl/>
        </w:rPr>
        <w:t>הממ"נ</w:t>
      </w:r>
      <w:proofErr w:type="spellEnd"/>
      <w:r w:rsidRPr="00243AB8">
        <w:rPr>
          <w:rFonts w:ascii="David" w:eastAsia="Calibri" w:hAnsi="David" w:cs="David" w:hint="cs"/>
          <w:b/>
          <w:bCs/>
          <w:sz w:val="28"/>
          <w:szCs w:val="28"/>
          <w:rtl/>
        </w:rPr>
        <w:t>, ושייך כל הטעמים שביארנו גבי טעמו של התוס', משום דהוה חוץ לתחום, וד"ל.</w:t>
      </w:r>
    </w:p>
  </w:footnote>
  <w:footnote w:id="4">
    <w:p w14:paraId="3178BDDD" w14:textId="77777777" w:rsidR="008E4B45" w:rsidRDefault="008E4B45" w:rsidP="008E4B45">
      <w:pPr>
        <w:pStyle w:val="a3"/>
        <w:bidi/>
        <w:jc w:val="left"/>
        <w:rPr>
          <w:rtl/>
        </w:rPr>
      </w:pPr>
      <w:r>
        <w:rPr>
          <w:rStyle w:val="af1"/>
        </w:rPr>
        <w:footnoteRef/>
      </w:r>
      <w:r>
        <w:rPr>
          <w:rtl/>
        </w:rPr>
        <w:t xml:space="preserve"> </w:t>
      </w:r>
      <w:r>
        <w:rPr>
          <w:rFonts w:hint="cs"/>
          <w:rtl/>
        </w:rPr>
        <w:t xml:space="preserve">הל' יו"ט פ"ו </w:t>
      </w:r>
      <w:proofErr w:type="spellStart"/>
      <w:r>
        <w:rPr>
          <w:rFonts w:hint="cs"/>
          <w:rtl/>
        </w:rPr>
        <w:t>הט"ו</w:t>
      </w:r>
      <w:proofErr w:type="spellEnd"/>
      <w:r>
        <w:rPr>
          <w:rFonts w:hint="cs"/>
          <w:rtl/>
        </w:rPr>
        <w:t>.</w:t>
      </w:r>
    </w:p>
  </w:footnote>
  <w:footnote w:id="5">
    <w:p w14:paraId="00189F55" w14:textId="77777777" w:rsidR="008E4B45" w:rsidRDefault="008E4B45" w:rsidP="008E4B45">
      <w:pPr>
        <w:pStyle w:val="a3"/>
        <w:bidi/>
        <w:jc w:val="left"/>
      </w:pPr>
      <w:r>
        <w:rPr>
          <w:rStyle w:val="af1"/>
        </w:rPr>
        <w:footnoteRef/>
      </w:r>
      <w:r>
        <w:rPr>
          <w:rtl/>
        </w:rPr>
        <w:t xml:space="preserve"> </w:t>
      </w:r>
      <w:r>
        <w:rPr>
          <w:rFonts w:hint="cs"/>
          <w:rtl/>
        </w:rPr>
        <w:t xml:space="preserve">שם פ"א </w:t>
      </w:r>
      <w:proofErr w:type="spellStart"/>
      <w:r>
        <w:rPr>
          <w:rFonts w:hint="cs"/>
          <w:rtl/>
        </w:rPr>
        <w:t>הכ"ד</w:t>
      </w:r>
      <w:proofErr w:type="spellEnd"/>
      <w:r>
        <w:rPr>
          <w:rFonts w:hint="cs"/>
          <w:rtl/>
        </w:rPr>
        <w:t>.</w:t>
      </w:r>
    </w:p>
  </w:footnote>
  <w:footnote w:id="6">
    <w:p w14:paraId="4BA51D66" w14:textId="77777777" w:rsidR="008E4B45" w:rsidRDefault="008E4B45" w:rsidP="008E4B45">
      <w:pPr>
        <w:pStyle w:val="a3"/>
        <w:bidi/>
        <w:jc w:val="left"/>
        <w:rPr>
          <w:rFonts w:hint="cs"/>
          <w:rtl/>
        </w:rPr>
      </w:pPr>
      <w:r>
        <w:rPr>
          <w:rStyle w:val="af1"/>
        </w:rPr>
        <w:footnoteRef/>
      </w:r>
      <w:r>
        <w:rPr>
          <w:rFonts w:hint="cs"/>
          <w:rtl/>
        </w:rPr>
        <w:t xml:space="preserve"> </w:t>
      </w:r>
      <w:r>
        <w:rPr>
          <w:rFonts w:hint="cs"/>
          <w:rtl/>
        </w:rPr>
        <w:t>שם פ"ו הי"ד.</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F2"/>
    <w:rsid w:val="002E1286"/>
    <w:rsid w:val="00370544"/>
    <w:rsid w:val="0046016F"/>
    <w:rsid w:val="006D2A9D"/>
    <w:rsid w:val="00711CDC"/>
    <w:rsid w:val="00757837"/>
    <w:rsid w:val="008E4B45"/>
    <w:rsid w:val="0094153F"/>
    <w:rsid w:val="00A52F64"/>
    <w:rsid w:val="00B227F2"/>
    <w:rsid w:val="00D72D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BB09CA1-3F91-475D-AFB9-52C0BEEA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53F"/>
    <w:pPr>
      <w:bidi/>
      <w:spacing w:after="200" w:line="276" w:lineRule="auto"/>
    </w:pPr>
    <w:rPr>
      <w:rFonts w:ascii="Narkisim" w:hAnsi="Narkisim" w:cs="Narkisim"/>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autoRedefine/>
    <w:uiPriority w:val="99"/>
    <w:semiHidden/>
    <w:unhideWhenUsed/>
    <w:rsid w:val="00D72D2F"/>
    <w:pPr>
      <w:bidi w:val="0"/>
      <w:spacing w:after="0" w:line="240" w:lineRule="auto"/>
      <w:jc w:val="right"/>
    </w:pPr>
    <w:rPr>
      <w:sz w:val="20"/>
      <w:szCs w:val="20"/>
    </w:rPr>
  </w:style>
  <w:style w:type="character" w:customStyle="1" w:styleId="a4">
    <w:name w:val="טקסט הערת שוליים תו"/>
    <w:basedOn w:val="a0"/>
    <w:link w:val="a3"/>
    <w:uiPriority w:val="99"/>
    <w:semiHidden/>
    <w:rsid w:val="00D72D2F"/>
    <w:rPr>
      <w:sz w:val="20"/>
      <w:szCs w:val="20"/>
    </w:rPr>
  </w:style>
  <w:style w:type="paragraph" w:styleId="a5">
    <w:name w:val="annotation text"/>
    <w:basedOn w:val="a"/>
    <w:link w:val="a6"/>
    <w:uiPriority w:val="99"/>
    <w:semiHidden/>
    <w:unhideWhenUsed/>
    <w:rsid w:val="00D72D2F"/>
    <w:pPr>
      <w:bidi w:val="0"/>
      <w:spacing w:line="240" w:lineRule="auto"/>
    </w:pPr>
    <w:rPr>
      <w:sz w:val="20"/>
      <w:szCs w:val="20"/>
    </w:rPr>
  </w:style>
  <w:style w:type="character" w:customStyle="1" w:styleId="a6">
    <w:name w:val="טקסט הערה תו"/>
    <w:basedOn w:val="a0"/>
    <w:link w:val="a5"/>
    <w:uiPriority w:val="99"/>
    <w:semiHidden/>
    <w:rsid w:val="00D72D2F"/>
    <w:rPr>
      <w:sz w:val="20"/>
      <w:szCs w:val="20"/>
    </w:rPr>
  </w:style>
  <w:style w:type="paragraph" w:styleId="a7">
    <w:name w:val="header"/>
    <w:basedOn w:val="a"/>
    <w:link w:val="a8"/>
    <w:uiPriority w:val="99"/>
    <w:unhideWhenUsed/>
    <w:rsid w:val="00D72D2F"/>
    <w:pPr>
      <w:tabs>
        <w:tab w:val="center" w:pos="4680"/>
        <w:tab w:val="right" w:pos="9360"/>
      </w:tabs>
      <w:bidi w:val="0"/>
      <w:spacing w:after="0" w:line="240" w:lineRule="auto"/>
    </w:pPr>
  </w:style>
  <w:style w:type="character" w:customStyle="1" w:styleId="a8">
    <w:name w:val="כותרת עליונה תו"/>
    <w:basedOn w:val="a0"/>
    <w:link w:val="a7"/>
    <w:uiPriority w:val="99"/>
    <w:rsid w:val="00D72D2F"/>
  </w:style>
  <w:style w:type="paragraph" w:styleId="a9">
    <w:name w:val="footer"/>
    <w:basedOn w:val="a"/>
    <w:link w:val="aa"/>
    <w:uiPriority w:val="99"/>
    <w:unhideWhenUsed/>
    <w:rsid w:val="00D72D2F"/>
    <w:pPr>
      <w:tabs>
        <w:tab w:val="center" w:pos="4680"/>
        <w:tab w:val="right" w:pos="9360"/>
      </w:tabs>
      <w:bidi w:val="0"/>
      <w:spacing w:after="0" w:line="240" w:lineRule="auto"/>
    </w:pPr>
  </w:style>
  <w:style w:type="character" w:customStyle="1" w:styleId="aa">
    <w:name w:val="כותרת תחתונה תו"/>
    <w:basedOn w:val="a0"/>
    <w:link w:val="a9"/>
    <w:uiPriority w:val="99"/>
    <w:rsid w:val="00D72D2F"/>
  </w:style>
  <w:style w:type="character" w:styleId="ab">
    <w:name w:val="annotation reference"/>
    <w:basedOn w:val="a0"/>
    <w:uiPriority w:val="99"/>
    <w:semiHidden/>
    <w:unhideWhenUsed/>
    <w:rsid w:val="00D72D2F"/>
    <w:rPr>
      <w:sz w:val="16"/>
      <w:szCs w:val="16"/>
    </w:rPr>
  </w:style>
  <w:style w:type="paragraph" w:styleId="ac">
    <w:name w:val="annotation subject"/>
    <w:basedOn w:val="a5"/>
    <w:next w:val="a5"/>
    <w:link w:val="ad"/>
    <w:uiPriority w:val="99"/>
    <w:semiHidden/>
    <w:unhideWhenUsed/>
    <w:rsid w:val="00D72D2F"/>
    <w:rPr>
      <w:b/>
      <w:bCs/>
    </w:rPr>
  </w:style>
  <w:style w:type="character" w:customStyle="1" w:styleId="ad">
    <w:name w:val="נושא הערה תו"/>
    <w:basedOn w:val="a6"/>
    <w:link w:val="ac"/>
    <w:uiPriority w:val="99"/>
    <w:semiHidden/>
    <w:rsid w:val="00D72D2F"/>
    <w:rPr>
      <w:b/>
      <w:bCs/>
      <w:sz w:val="20"/>
      <w:szCs w:val="20"/>
    </w:rPr>
  </w:style>
  <w:style w:type="paragraph" w:styleId="ae">
    <w:name w:val="Balloon Text"/>
    <w:basedOn w:val="a"/>
    <w:link w:val="af"/>
    <w:uiPriority w:val="99"/>
    <w:semiHidden/>
    <w:unhideWhenUsed/>
    <w:rsid w:val="00D72D2F"/>
    <w:pPr>
      <w:bidi w:val="0"/>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D72D2F"/>
    <w:rPr>
      <w:rFonts w:ascii="Tahoma" w:hAnsi="Tahoma" w:cs="Tahoma"/>
      <w:sz w:val="18"/>
      <w:szCs w:val="18"/>
    </w:rPr>
  </w:style>
  <w:style w:type="paragraph" w:styleId="af0">
    <w:name w:val="List Paragraph"/>
    <w:basedOn w:val="a"/>
    <w:uiPriority w:val="34"/>
    <w:qFormat/>
    <w:rsid w:val="00D72D2F"/>
    <w:pPr>
      <w:bidi w:val="0"/>
      <w:ind w:left="720"/>
      <w:contextualSpacing/>
    </w:pPr>
  </w:style>
  <w:style w:type="character" w:styleId="af1">
    <w:name w:val="footnote reference"/>
    <w:uiPriority w:val="99"/>
    <w:semiHidden/>
    <w:unhideWhenUsed/>
    <w:rsid w:val="008E4B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Words>
  <Characters>860</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שמואל בלויא</dc:creator>
  <cp:keywords/>
  <dc:description/>
  <cp:lastModifiedBy>שמואל בלויא</cp:lastModifiedBy>
  <cp:revision>2</cp:revision>
  <dcterms:created xsi:type="dcterms:W3CDTF">2023-12-04T08:47:00Z</dcterms:created>
  <dcterms:modified xsi:type="dcterms:W3CDTF">2023-12-04T08:48:00Z</dcterms:modified>
</cp:coreProperties>
</file>