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4F3" w:rsidRDefault="00FF04F3" w:rsidP="00FF04F3">
      <w:pPr>
        <w:pStyle w:val="1"/>
        <w:rPr>
          <w:rtl/>
        </w:rPr>
      </w:pPr>
      <w:r>
        <w:rPr>
          <w:rFonts w:hint="cs"/>
          <w:rtl/>
        </w:rPr>
        <w:t>מכשירי אוכ"נ בחוה"מ</w:t>
      </w:r>
    </w:p>
    <w:p w:rsidR="00FF04F3" w:rsidRDefault="00FF04F3" w:rsidP="00FF04F3">
      <w:pPr>
        <w:rPr>
          <w:rtl/>
        </w:rPr>
      </w:pPr>
      <w:r>
        <w:rPr>
          <w:rFonts w:hint="cs"/>
          <w:rtl/>
        </w:rPr>
        <w:t>מו"ק י' א', מתני',</w:t>
      </w:r>
      <w:r>
        <w:rPr>
          <w:rtl/>
        </w:rPr>
        <w:t xml:space="preserve"> מעמידין תנור וכירים וריחים במועד</w:t>
      </w:r>
      <w:r>
        <w:rPr>
          <w:rFonts w:hint="cs"/>
          <w:rtl/>
        </w:rPr>
        <w:t>,</w:t>
      </w:r>
      <w:r>
        <w:rPr>
          <w:rtl/>
        </w:rPr>
        <w:t xml:space="preserve"> רבי יהודה אומר אין מכבשין את הריחים בתחילה. </w:t>
      </w:r>
      <w:r>
        <w:rPr>
          <w:rFonts w:hint="cs"/>
          <w:rtl/>
        </w:rPr>
        <w:t>וב</w:t>
      </w:r>
      <w:r>
        <w:rPr>
          <w:rtl/>
        </w:rPr>
        <w:t>גמרא</w:t>
      </w:r>
      <w:r>
        <w:rPr>
          <w:rFonts w:hint="cs"/>
          <w:rtl/>
        </w:rPr>
        <w:t>,</w:t>
      </w:r>
      <w:r>
        <w:rPr>
          <w:rtl/>
        </w:rPr>
        <w:t xml:space="preserve"> מאי מכבשין</w:t>
      </w:r>
      <w:r>
        <w:rPr>
          <w:rFonts w:hint="cs"/>
          <w:rtl/>
        </w:rPr>
        <w:t>,</w:t>
      </w:r>
      <w:r>
        <w:rPr>
          <w:rtl/>
        </w:rPr>
        <w:t xml:space="preserve"> רב יהודה אמר מנקר ריחיא, רב יחיאל אמר בת עינא</w:t>
      </w:r>
      <w:r>
        <w:rPr>
          <w:rFonts w:hint="cs"/>
          <w:rtl/>
        </w:rPr>
        <w:t>,</w:t>
      </w:r>
      <w:r>
        <w:rPr>
          <w:rtl/>
        </w:rPr>
        <w:t xml:space="preserve"> </w:t>
      </w:r>
      <w:r>
        <w:rPr>
          <w:rFonts w:hint="cs"/>
          <w:rtl/>
        </w:rPr>
        <w:t>וכו'.</w:t>
      </w:r>
    </w:p>
    <w:p w:rsidR="00B73F3F" w:rsidRDefault="00B73F3F" w:rsidP="00497637">
      <w:pPr>
        <w:rPr>
          <w:rtl/>
        </w:rPr>
      </w:pPr>
      <w:r>
        <w:rPr>
          <w:rFonts w:hint="cs"/>
          <w:rtl/>
        </w:rPr>
        <w:t>והנה, בתוס' גרסו ב' אפשרויות במשנה, האם בד</w:t>
      </w:r>
      <w:r w:rsidR="00497637">
        <w:rPr>
          <w:rFonts w:hint="cs"/>
          <w:rtl/>
        </w:rPr>
        <w:t>ברי ר' יהודה</w:t>
      </w:r>
      <w:r>
        <w:rPr>
          <w:rFonts w:hint="cs"/>
          <w:rtl/>
        </w:rPr>
        <w:t xml:space="preserve"> גרסינן 'אין מכבשין את הריחים בתחילה', והכונה דת"ק שרי גם כיבוש ור"י אסר, או דגרסינן בדר"י 'מכבשין את הריחים', ות"ק אסר לגמרי ור"י התיר ומבואר בברייתא דהתיר רק ישנה.</w:t>
      </w:r>
    </w:p>
    <w:p w:rsidR="00B73F3F" w:rsidRDefault="00B73F3F" w:rsidP="00B73F3F">
      <w:pPr>
        <w:rPr>
          <w:rtl/>
        </w:rPr>
      </w:pPr>
      <w:r>
        <w:rPr>
          <w:rFonts w:hint="cs"/>
          <w:rtl/>
        </w:rPr>
        <w:t>בריטב"א יש עוד גירסא בדברי ת"ק 'מעמידים תנור וכירים' ולא גרסינן 'וריחים', וגם לפי גירסא זו עולה דת"ק אסר לגמרי, ור"י התיר בישנה.</w:t>
      </w:r>
    </w:p>
    <w:p w:rsidR="00B73F3F" w:rsidRDefault="00B73F3F" w:rsidP="00B73F3F">
      <w:pPr>
        <w:rPr>
          <w:rtl/>
        </w:rPr>
      </w:pPr>
      <w:r>
        <w:rPr>
          <w:rFonts w:hint="cs"/>
          <w:rtl/>
        </w:rPr>
        <w:t>ובתוס' בסו"ד כתבו דמעמידים במשנה הכונה להעמיד ריח</w:t>
      </w:r>
      <w:r w:rsidR="00022962">
        <w:rPr>
          <w:rFonts w:hint="cs"/>
          <w:rtl/>
        </w:rPr>
        <w:t>י</w:t>
      </w:r>
      <w:r>
        <w:rPr>
          <w:rFonts w:hint="cs"/>
          <w:rtl/>
        </w:rPr>
        <w:t xml:space="preserve">ים בנויות אבל אין היתר לבנות מתחילה, וכמו שמבואר בד"ף י"א ושוין שאין גודלים תנור בתחילה, והנה, הלא כל האיסור דמבואר שם הוא בימות הגשמים שלא יהיה מוכן לצורך המועד, </w:t>
      </w:r>
      <w:r w:rsidR="003D3328">
        <w:rPr>
          <w:rFonts w:hint="cs"/>
          <w:rtl/>
        </w:rPr>
        <w:t>אבל לצורך המועד מותר שם גם למיגדל תנורא.</w:t>
      </w:r>
    </w:p>
    <w:p w:rsidR="00423D00" w:rsidRDefault="00423D00" w:rsidP="00423D00">
      <w:pPr>
        <w:rPr>
          <w:rtl/>
        </w:rPr>
      </w:pPr>
      <w:r>
        <w:rPr>
          <w:rFonts w:hint="cs"/>
          <w:rtl/>
        </w:rPr>
        <w:t>וכונת התוס' הינה לכאורה לישב הלשון במשנה 'מעמידים', ולמה לא כתוב היתר גם לבנות, ובשלמא לפי הדרך המבוארת בתוס' דת"ק אסר כיבוש לגמרי, מיושב לתוס' מה דהתירו דוקא מעמידים, אבל לפי הדרך השנייה שת"ק התיר כיבוש קשה, דמשמע דגם עשיית תנור  מותרת, וא"כ קשה למה נקטו ההיתר דוקא בהעמדה. ולזה תירצו דנקטו מעמידים כיון דמיירי בימות הגשמים שאסור בניית תנור כיון שלא יתייבש בחוה"מ. [ובתוס' אין מבואר אם גם בריחיים ההיתר הוא רק להעמיד אבל בנייה אסור, או דרק תנור אסור בנייה, ואגב תנור נקטו העמדה גם בריחיים, ועי' בתוה"ר דנקט דגם בריחיים אסור בנייה ומותרת רק העמדה, וכנרא' דבמציאות גם בניית ריחיים הוא ע"י טיט ובבנייה לא מתייבש בחוה"</w:t>
      </w:r>
      <w:r w:rsidR="00215534">
        <w:rPr>
          <w:rFonts w:hint="cs"/>
          <w:rtl/>
        </w:rPr>
        <w:t xml:space="preserve">מ </w:t>
      </w:r>
      <w:r>
        <w:rPr>
          <w:rFonts w:hint="cs"/>
          <w:rtl/>
        </w:rPr>
        <w:t xml:space="preserve">ולכן אסרו (אא"כ נימא דהתוה"ר ס"ל </w:t>
      </w:r>
      <w:r w:rsidR="00215534">
        <w:rPr>
          <w:rFonts w:hint="cs"/>
          <w:rtl/>
        </w:rPr>
        <w:t>דבריחים אסור בנייה אפילו כשכן יתייבש בחוה"מ משום שהוא מכשירי מכשירין)</w:t>
      </w:r>
      <w:r>
        <w:rPr>
          <w:rFonts w:hint="cs"/>
          <w:rtl/>
        </w:rPr>
        <w:t>.</w:t>
      </w:r>
      <w:bookmarkStart w:id="0" w:name="_GoBack"/>
      <w:bookmarkEnd w:id="0"/>
    </w:p>
    <w:p w:rsidR="003F3F7C" w:rsidRDefault="003F3F7C" w:rsidP="009E190E">
      <w:pPr>
        <w:pStyle w:val="2"/>
        <w:rPr>
          <w:rtl/>
        </w:rPr>
      </w:pPr>
      <w:r>
        <w:rPr>
          <w:rFonts w:hint="cs"/>
          <w:rtl/>
        </w:rPr>
        <w:t>דעת הראב"ד</w:t>
      </w:r>
    </w:p>
    <w:p w:rsidR="00423D00" w:rsidRDefault="00447B2E" w:rsidP="00447B2E">
      <w:pPr>
        <w:rPr>
          <w:rFonts w:hint="cs"/>
          <w:rtl/>
        </w:rPr>
      </w:pPr>
      <w:r>
        <w:rPr>
          <w:rFonts w:hint="cs"/>
          <w:rtl/>
        </w:rPr>
        <w:t>ו</w:t>
      </w:r>
      <w:r w:rsidR="00B73F3F">
        <w:rPr>
          <w:rFonts w:hint="cs"/>
          <w:rtl/>
        </w:rPr>
        <w:t xml:space="preserve">הנה, </w:t>
      </w:r>
      <w:r>
        <w:rPr>
          <w:rFonts w:hint="cs"/>
          <w:rtl/>
        </w:rPr>
        <w:t xml:space="preserve">לכאור' </w:t>
      </w:r>
      <w:r w:rsidR="00D82840">
        <w:rPr>
          <w:rFonts w:hint="cs"/>
          <w:rtl/>
        </w:rPr>
        <w:t>חזינן בדף י</w:t>
      </w:r>
      <w:r>
        <w:rPr>
          <w:rFonts w:hint="cs"/>
          <w:rtl/>
        </w:rPr>
        <w:t>"</w:t>
      </w:r>
      <w:r w:rsidR="00D82840">
        <w:rPr>
          <w:rFonts w:hint="cs"/>
          <w:rtl/>
        </w:rPr>
        <w:t xml:space="preserve">א </w:t>
      </w:r>
      <w:r>
        <w:rPr>
          <w:rFonts w:hint="cs"/>
          <w:rtl/>
        </w:rPr>
        <w:t xml:space="preserve">מדרב אסר למגדל איזלי (מצודות יונים) כיון שהוא מעשה אומן, </w:t>
      </w:r>
      <w:r w:rsidR="00D82840">
        <w:rPr>
          <w:rFonts w:hint="cs"/>
          <w:rtl/>
        </w:rPr>
        <w:t xml:space="preserve">דמכשירי אוכ"נ אסורים </w:t>
      </w:r>
      <w:r>
        <w:rPr>
          <w:rFonts w:hint="cs"/>
          <w:rtl/>
        </w:rPr>
        <w:t>ב</w:t>
      </w:r>
      <w:r w:rsidR="00423D00">
        <w:rPr>
          <w:rFonts w:hint="cs"/>
          <w:rtl/>
        </w:rPr>
        <w:t>מעשה אומן.</w:t>
      </w:r>
    </w:p>
    <w:p w:rsidR="00D82840" w:rsidRDefault="00D82840" w:rsidP="00447B2E">
      <w:pPr>
        <w:rPr>
          <w:rtl/>
        </w:rPr>
      </w:pPr>
      <w:r>
        <w:rPr>
          <w:rFonts w:hint="cs"/>
          <w:rtl/>
        </w:rPr>
        <w:t>והראב"</w:t>
      </w:r>
      <w:r w:rsidR="00447B2E">
        <w:rPr>
          <w:rFonts w:hint="cs"/>
          <w:rtl/>
        </w:rPr>
        <w:t xml:space="preserve">ד, הובא ברא"ש, </w:t>
      </w:r>
      <w:r>
        <w:rPr>
          <w:rFonts w:hint="cs"/>
          <w:rtl/>
        </w:rPr>
        <w:t xml:space="preserve">פי' דלכן אסור </w:t>
      </w:r>
      <w:r w:rsidR="00447B2E">
        <w:rPr>
          <w:rFonts w:hint="cs"/>
          <w:rtl/>
        </w:rPr>
        <w:t xml:space="preserve">בת עינא לרב יהודה, כיון שהוא מעשה אומן, ולשיטתו </w:t>
      </w:r>
      <w:r>
        <w:rPr>
          <w:rFonts w:hint="cs"/>
          <w:rtl/>
        </w:rPr>
        <w:t>הכי נקטינן להלכה.</w:t>
      </w:r>
    </w:p>
    <w:p w:rsidR="00F35F93" w:rsidRDefault="00F35F93" w:rsidP="00F35F93">
      <w:pPr>
        <w:rPr>
          <w:rtl/>
        </w:rPr>
      </w:pPr>
      <w:r>
        <w:rPr>
          <w:rFonts w:hint="cs"/>
          <w:rtl/>
        </w:rPr>
        <w:t>מיהו לכאורה קשה על זה מהמבואר בדף י"א א' שמותר לגדול תנור לכתחילה בימות החמה, וכן אוהרא דהיינו נפה מותר לגדול, ולכאור' הלא הוא מעשה</w:t>
      </w:r>
      <w:r w:rsidR="003D3328">
        <w:rPr>
          <w:rFonts w:hint="cs"/>
          <w:rtl/>
        </w:rPr>
        <w:t xml:space="preserve"> אומן, וצ"ל שאינו אומנות.</w:t>
      </w:r>
    </w:p>
    <w:p w:rsidR="0079675A" w:rsidRDefault="0079675A" w:rsidP="00F35F93">
      <w:pPr>
        <w:rPr>
          <w:rtl/>
        </w:rPr>
      </w:pPr>
      <w:r>
        <w:rPr>
          <w:rFonts w:hint="cs"/>
          <w:rtl/>
        </w:rPr>
        <w:t>והכי להדיא בתלמיד הרשב"א (י"א א') בדעת הראב"ד דמגדל תנורי להראב"ד אינו אומנות, ולכן מותר.</w:t>
      </w:r>
    </w:p>
    <w:p w:rsidR="00215534" w:rsidRDefault="00215534" w:rsidP="00F35F93">
      <w:pPr>
        <w:rPr>
          <w:rtl/>
        </w:rPr>
      </w:pPr>
      <w:r>
        <w:rPr>
          <w:rFonts w:hint="cs"/>
          <w:rtl/>
        </w:rPr>
        <w:t xml:space="preserve">ולכאור' היה מקום לומר בדברי הראב"ד גופיה דלעולם בתנור וכדו' מותר אך מכשירי מכשירין </w:t>
      </w:r>
    </w:p>
    <w:p w:rsidR="003F3F7C" w:rsidRDefault="003F3F7C" w:rsidP="009E190E">
      <w:pPr>
        <w:pStyle w:val="2"/>
        <w:rPr>
          <w:rtl/>
        </w:rPr>
      </w:pPr>
      <w:r>
        <w:rPr>
          <w:rFonts w:hint="cs"/>
          <w:rtl/>
        </w:rPr>
        <w:t>דעת הרמב"ן</w:t>
      </w:r>
    </w:p>
    <w:p w:rsidR="00447B2E" w:rsidRDefault="00447B2E" w:rsidP="00F35F93">
      <w:pPr>
        <w:rPr>
          <w:rtl/>
        </w:rPr>
      </w:pPr>
      <w:r>
        <w:rPr>
          <w:rFonts w:hint="cs"/>
          <w:rtl/>
        </w:rPr>
        <w:t>אמנם הרמב"ן בחידושי</w:t>
      </w:r>
      <w:r w:rsidR="00152B01">
        <w:rPr>
          <w:rFonts w:hint="cs"/>
          <w:rtl/>
        </w:rPr>
        <w:t>ם</w:t>
      </w:r>
      <w:r>
        <w:rPr>
          <w:rFonts w:hint="cs"/>
          <w:rtl/>
        </w:rPr>
        <w:t xml:space="preserve"> ריש מו"ק, נקט דמכשירי אוכ"נ מותרים אפילו מעשה אומן, והתיר להלכה גם בת עינא, </w:t>
      </w:r>
      <w:r w:rsidR="00F35F93">
        <w:rPr>
          <w:rFonts w:hint="cs"/>
          <w:rtl/>
        </w:rPr>
        <w:t>והביא ראיה מהמבואר בדף י"א א' שמותר לגדול ת</w:t>
      </w:r>
      <w:r w:rsidR="003D3328">
        <w:rPr>
          <w:rFonts w:hint="cs"/>
          <w:rtl/>
        </w:rPr>
        <w:t>נור לכתחילה בימות החמה, ו</w:t>
      </w:r>
      <w:r w:rsidR="00F35F93">
        <w:rPr>
          <w:rFonts w:hint="cs"/>
          <w:rtl/>
        </w:rPr>
        <w:t xml:space="preserve">הלא הוא מעשה אומן, ומבואר דמותר אף מעשה אומן. </w:t>
      </w:r>
      <w:r>
        <w:rPr>
          <w:rFonts w:hint="cs"/>
          <w:rtl/>
        </w:rPr>
        <w:t xml:space="preserve">ונקט דמה שאסרו </w:t>
      </w:r>
      <w:r w:rsidR="00F35F93">
        <w:rPr>
          <w:rFonts w:hint="cs"/>
          <w:rtl/>
        </w:rPr>
        <w:t xml:space="preserve">למגדל </w:t>
      </w:r>
      <w:r>
        <w:rPr>
          <w:rFonts w:hint="cs"/>
          <w:rtl/>
        </w:rPr>
        <w:t>איזלי הוא  משום דהוי מכשירי מכשירין.</w:t>
      </w:r>
    </w:p>
    <w:p w:rsidR="00E24E01" w:rsidRDefault="00E24E01" w:rsidP="003F3F7C">
      <w:pPr>
        <w:rPr>
          <w:rtl/>
        </w:rPr>
      </w:pPr>
      <w:r>
        <w:rPr>
          <w:rFonts w:hint="cs"/>
          <w:rtl/>
        </w:rPr>
        <w:t>ו</w:t>
      </w:r>
      <w:r w:rsidR="003F3F7C">
        <w:rPr>
          <w:rFonts w:hint="cs"/>
          <w:rtl/>
        </w:rPr>
        <w:t xml:space="preserve">יל"ע למה מצודות עופות ודגים נחשב מכשירי מכשירין, (וכל ההיתר במצודות דגים הוא משום דהוא מעשה הדיוט), טפי מתנור וריחים, ואולי איכא למימר דכשההתעסקות היא </w:t>
      </w:r>
      <w:r w:rsidR="003F3F7C">
        <w:rPr>
          <w:rFonts w:hint="cs"/>
          <w:rtl/>
        </w:rPr>
        <w:lastRenderedPageBreak/>
        <w:t>בכלי בכדי לזמן את המאכל ולא בשביל להתעסק עם מאכל שכבר קיים, בזה חשוה מכשירי מכשירין, וצ"ע.</w:t>
      </w:r>
    </w:p>
    <w:p w:rsidR="00447B2E" w:rsidRDefault="00447B2E" w:rsidP="00F35F93">
      <w:pPr>
        <w:rPr>
          <w:rtl/>
        </w:rPr>
      </w:pPr>
      <w:r>
        <w:rPr>
          <w:rFonts w:hint="cs"/>
          <w:rtl/>
        </w:rPr>
        <w:t>והרמב"</w:t>
      </w:r>
      <w:r w:rsidR="00152B01">
        <w:rPr>
          <w:rFonts w:hint="cs"/>
          <w:rtl/>
        </w:rPr>
        <w:t>ן הו</w:t>
      </w:r>
      <w:r>
        <w:rPr>
          <w:rFonts w:hint="cs"/>
          <w:rtl/>
        </w:rPr>
        <w:t>כיח הכי מהירושלמי שהתירו להסיק אלפסין וקדירות לצורך המועד ומשמע אפילו לעשותם לכתחילה.</w:t>
      </w:r>
      <w:r w:rsidR="00F35F93">
        <w:rPr>
          <w:rFonts w:hint="cs"/>
          <w:rtl/>
        </w:rPr>
        <w:t xml:space="preserve"> (ברמב"ן לא נזכר זה כראיה, וגם דאפשר לפרש מש"כ שמותר לעשותם לכתחילה אינו מכח דמשמע הכי אלא תוספת של הרמב"ן).</w:t>
      </w:r>
    </w:p>
    <w:p w:rsidR="00447B2E" w:rsidRDefault="00447B2E" w:rsidP="00447B2E">
      <w:pPr>
        <w:rPr>
          <w:rtl/>
        </w:rPr>
      </w:pPr>
      <w:r>
        <w:rPr>
          <w:rFonts w:hint="cs"/>
          <w:rtl/>
        </w:rPr>
        <w:t>והנה פלוגתת ר"י ורבנן בדף י' א', לדעת הרמב"ן אפשר לפ' דנחלקו בהכי, אי שרי מכשירי אוכ"נ באומנות, ונימא דכיבוש הוא מעשה אומנות, ואנן נקטינן כרבנן ולכן מותר כיבוש וה"ה כל מעשה אומנות.</w:t>
      </w:r>
    </w:p>
    <w:p w:rsidR="00B73F3F" w:rsidRDefault="00447B2E" w:rsidP="003D3328">
      <w:pPr>
        <w:tabs>
          <w:tab w:val="left" w:pos="6616"/>
        </w:tabs>
        <w:rPr>
          <w:rtl/>
        </w:rPr>
      </w:pPr>
      <w:r>
        <w:rPr>
          <w:rFonts w:hint="cs"/>
          <w:rtl/>
        </w:rPr>
        <w:t>ומחלו' רב יהודה ור' יח</w:t>
      </w:r>
      <w:r w:rsidR="00F35F93">
        <w:rPr>
          <w:rFonts w:hint="cs"/>
          <w:rtl/>
        </w:rPr>
        <w:t xml:space="preserve">יאל בגמרא </w:t>
      </w:r>
      <w:r w:rsidR="003D3328">
        <w:rPr>
          <w:rFonts w:hint="cs"/>
          <w:rtl/>
        </w:rPr>
        <w:t xml:space="preserve">אי מכבשין בת עינא או ניקור ריחיא, </w:t>
      </w:r>
      <w:r w:rsidR="00F35F93">
        <w:rPr>
          <w:rFonts w:hint="cs"/>
          <w:rtl/>
        </w:rPr>
        <w:t>אולי י"ל דלא פליגי להלכה, ולכן נקט הרמב"ן דלהלכה מותר הכל.</w:t>
      </w:r>
      <w:r w:rsidR="003D3328">
        <w:rPr>
          <w:rFonts w:hint="cs"/>
          <w:rtl/>
        </w:rPr>
        <w:t xml:space="preserve"> ואי נימא דפליגי להלכה י"ל דפליגי אי ר"י התיר אומנות, דהיינו</w:t>
      </w:r>
      <w:r w:rsidR="0079675A">
        <w:rPr>
          <w:rFonts w:hint="cs"/>
          <w:rtl/>
        </w:rPr>
        <w:t xml:space="preserve"> </w:t>
      </w:r>
      <w:r w:rsidR="003D3328">
        <w:rPr>
          <w:rFonts w:hint="cs"/>
          <w:rtl/>
        </w:rPr>
        <w:t>בת עינא הוא אומנות, ונקור ריחיא אינו אומנות, ומ"ד ניקור ריחיא ס"ל דר"י לא התיר אומנות, ומ"מ</w:t>
      </w:r>
      <w:r w:rsidR="0079675A">
        <w:rPr>
          <w:rFonts w:hint="cs"/>
          <w:rtl/>
        </w:rPr>
        <w:t xml:space="preserve"> לר' יהודה</w:t>
      </w:r>
      <w:r w:rsidR="003D3328">
        <w:rPr>
          <w:rFonts w:hint="cs"/>
          <w:rtl/>
        </w:rPr>
        <w:t xml:space="preserve"> כל זה </w:t>
      </w:r>
      <w:r w:rsidR="0079675A">
        <w:rPr>
          <w:rFonts w:hint="cs"/>
          <w:rtl/>
        </w:rPr>
        <w:t xml:space="preserve">היתר </w:t>
      </w:r>
      <w:r w:rsidR="003D3328">
        <w:rPr>
          <w:rFonts w:hint="cs"/>
          <w:rtl/>
        </w:rPr>
        <w:t>בישנה, ורבנן לכו"ע התירו אומנות גם בחדשה.</w:t>
      </w:r>
    </w:p>
    <w:p w:rsidR="003F3F7C" w:rsidRDefault="003F3F7C" w:rsidP="009E190E">
      <w:pPr>
        <w:pStyle w:val="2"/>
        <w:rPr>
          <w:rtl/>
        </w:rPr>
      </w:pPr>
      <w:r>
        <w:rPr>
          <w:rFonts w:hint="cs"/>
          <w:rtl/>
        </w:rPr>
        <w:t>דעת הריטב"א</w:t>
      </w:r>
    </w:p>
    <w:p w:rsidR="00447B2E" w:rsidRDefault="00B73F3F" w:rsidP="00B73F3F">
      <w:pPr>
        <w:tabs>
          <w:tab w:val="left" w:pos="6616"/>
        </w:tabs>
        <w:rPr>
          <w:rtl/>
        </w:rPr>
      </w:pPr>
      <w:r>
        <w:rPr>
          <w:rFonts w:hint="cs"/>
          <w:rtl/>
        </w:rPr>
        <w:t xml:space="preserve">והריטב"א צידד כהגירסא </w:t>
      </w:r>
      <w:r w:rsidR="003D3328">
        <w:rPr>
          <w:rFonts w:hint="cs"/>
          <w:rtl/>
        </w:rPr>
        <w:t>בדברי ת"ק מעמידים תנור וכירים ולא גרסינן וריחים, דריחים אסורות, וביאר כיון דהוא מכשירי מכשירין. [והביא דהרמב"ם נקט להלכה מותר הכל גם בחדשה והוא משום דגרס בד' ת"ק דהתיר הכל].</w:t>
      </w:r>
    </w:p>
    <w:p w:rsidR="00FC674C" w:rsidRDefault="00FC674C" w:rsidP="00FC674C">
      <w:pPr>
        <w:tabs>
          <w:tab w:val="left" w:pos="6616"/>
        </w:tabs>
        <w:rPr>
          <w:rtl/>
        </w:rPr>
      </w:pPr>
      <w:r>
        <w:rPr>
          <w:rFonts w:hint="cs"/>
          <w:rtl/>
        </w:rPr>
        <w:t>ולכאור' צ"ב בדברי הריטב"א למה ריחים נחשבות מכשירי מכשירין, ותנור נחשב מכשירין, דהא לת"ק מעמידים תנור וכירים ולא ריחים, כיון דריחים הם מכשירי מכשירין, וכמו שדנקט הריטב"א להלכה.</w:t>
      </w:r>
    </w:p>
    <w:p w:rsidR="00FC674C" w:rsidRDefault="00FC674C" w:rsidP="00FC674C">
      <w:pPr>
        <w:tabs>
          <w:tab w:val="left" w:pos="6616"/>
        </w:tabs>
        <w:rPr>
          <w:rtl/>
        </w:rPr>
      </w:pPr>
      <w:r>
        <w:rPr>
          <w:rFonts w:hint="cs"/>
          <w:rtl/>
        </w:rPr>
        <w:t>והיה מקום לומר ד</w:t>
      </w:r>
      <w:r w:rsidR="00CB0EDB">
        <w:rPr>
          <w:rFonts w:hint="cs"/>
          <w:rtl/>
        </w:rPr>
        <w:t xml:space="preserve">לגבי </w:t>
      </w:r>
      <w:r>
        <w:rPr>
          <w:rFonts w:hint="cs"/>
          <w:rtl/>
        </w:rPr>
        <w:t>תנור וכירים דההתעסקות עמם הוא בגוף המאכל, עשית תנור נחשבת מכשירין, משא"כ בריחים דההתעסקות עם הריחים היא בקמח ואינו מאכל, עשית ריחים נחשבת מכשירי מכשירין.</w:t>
      </w:r>
    </w:p>
    <w:p w:rsidR="00FC674C" w:rsidRDefault="00FC674C" w:rsidP="0079675A">
      <w:pPr>
        <w:tabs>
          <w:tab w:val="left" w:pos="6616"/>
        </w:tabs>
        <w:rPr>
          <w:rtl/>
        </w:rPr>
      </w:pPr>
      <w:r>
        <w:rPr>
          <w:rFonts w:hint="cs"/>
          <w:rtl/>
        </w:rPr>
        <w:t>מיהו קשה מהמבואר בדף י"א דגם למגדל מהולתא דהיינו נפה מותר, ודחוק לומר (בד' הריטב"א) דהתם הוא מלאכת הדיוט (דהלא הריטב"א דנקט דההיתר למגדל תנורא דמוזכר שם הוא מעשה אומן, וא"</w:t>
      </w:r>
      <w:r w:rsidR="00E24E01">
        <w:rPr>
          <w:rFonts w:hint="cs"/>
          <w:rtl/>
        </w:rPr>
        <w:t>כ גם למגדל מהולתא משמע דהוא מעש</w:t>
      </w:r>
      <w:r>
        <w:rPr>
          <w:rFonts w:hint="cs"/>
          <w:rtl/>
        </w:rPr>
        <w:t>ה אומנות</w:t>
      </w:r>
      <w:r w:rsidR="0079675A">
        <w:rPr>
          <w:rFonts w:hint="cs"/>
          <w:rtl/>
        </w:rPr>
        <w:t>, ודלא כהראב"ד דנקט דגם מגדל תנורא התם הוא מעשה הדיוט)</w:t>
      </w:r>
      <w:r>
        <w:rPr>
          <w:rFonts w:hint="cs"/>
          <w:rtl/>
        </w:rPr>
        <w:t>.</w:t>
      </w:r>
    </w:p>
    <w:p w:rsidR="0079675A" w:rsidRDefault="0079675A" w:rsidP="00022962">
      <w:pPr>
        <w:tabs>
          <w:tab w:val="left" w:pos="6616"/>
        </w:tabs>
        <w:rPr>
          <w:rtl/>
        </w:rPr>
      </w:pPr>
      <w:r>
        <w:rPr>
          <w:rFonts w:hint="cs"/>
          <w:rtl/>
        </w:rPr>
        <w:t>ואולי איכא למימר, דטחינה בריחים הוא סוג מלאכה שרגילים לעשות אחת להרב</w:t>
      </w:r>
      <w:r w:rsidR="00022962">
        <w:rPr>
          <w:rFonts w:hint="cs"/>
          <w:rtl/>
        </w:rPr>
        <w:t>ה זמן, ולא בכל פעם שרגיל לעשות מעט</w:t>
      </w:r>
      <w:r>
        <w:rPr>
          <w:rFonts w:hint="cs"/>
          <w:rtl/>
        </w:rPr>
        <w:t>, ולכן היא פחות קשורה ישירות לעשית הפת שעושה כעת, ולכן הדבר נחשב מכשירי מכשירין, משא"כ אפייה בתנור, וי"ל דגם ניפוי במפה י"ל דכן יש בזה רגילות לעשות לפני אפיית פת ובכל פעם (מיהו הגדרת מלאכת הרקדה ביו"ט היא מלאכה שנעשית לימים רבים ואסורה ביו"ט ורק מלישה ואילך מותר, ומ"מ י"ל דעדיין נחשב הדבר קשור לאפיית הפת טפי מטחינה, וצ"ע).</w:t>
      </w:r>
    </w:p>
    <w:p w:rsidR="003F3F7C" w:rsidRDefault="003F3F7C" w:rsidP="003F3F7C">
      <w:pPr>
        <w:tabs>
          <w:tab w:val="left" w:pos="6616"/>
        </w:tabs>
        <w:rPr>
          <w:rtl/>
        </w:rPr>
      </w:pPr>
      <w:r>
        <w:rPr>
          <w:rFonts w:hint="cs"/>
          <w:rtl/>
        </w:rPr>
        <w:t>מיהו, אולי איכא למימר דלעולם ההיתר במהולתא, גם להריטב"א הוא משום דהוא מעשה הדיוט, ונדמה למגדל אוהרי דהתם ההיתר הוא משום מעשה הדיוט כמבואר בגמרא. ואה"נ דההיתר למגדל תנורי הוא משום דהוי מכשירים (ולא מכשירי מכשירין</w:t>
      </w:r>
      <w:r w:rsidR="00022962">
        <w:rPr>
          <w:rFonts w:hint="cs"/>
          <w:rtl/>
        </w:rPr>
        <w:t>,</w:t>
      </w:r>
      <w:r>
        <w:rPr>
          <w:rFonts w:hint="cs"/>
          <w:rtl/>
        </w:rPr>
        <w:t xml:space="preserve"> ובזה שרי אפילו באומנות).</w:t>
      </w:r>
    </w:p>
    <w:p w:rsidR="00022962" w:rsidRDefault="00022962" w:rsidP="00022962">
      <w:pPr>
        <w:tabs>
          <w:tab w:val="left" w:pos="6616"/>
        </w:tabs>
        <w:rPr>
          <w:rtl/>
        </w:rPr>
      </w:pPr>
      <w:r>
        <w:rPr>
          <w:rFonts w:hint="cs"/>
          <w:rtl/>
        </w:rPr>
        <w:t>מיהו צע"ג בדברי הריטב"א י"א א' וז"ל "</w:t>
      </w:r>
      <w:r>
        <w:rPr>
          <w:rtl/>
        </w:rPr>
        <w:t>וגדילת תנור הוא שעושין תנורין מהוצין וטחין אותן בטיט מבית ומחוץ ומעשה הדיוט הוא</w:t>
      </w:r>
      <w:r>
        <w:rPr>
          <w:rFonts w:hint="cs"/>
          <w:rtl/>
        </w:rPr>
        <w:t>", ומבואר דמעשה הדיוט הוא, והלא לדעת הריטב"א במשנה יש חילוק בין ריחיים לתנור, דתנור שרי וריחיים אסור, והאיסור בריחיים כיון דהוא מכשירי מכשירין, והלא לא גרע מכל צורך המועד, ואם על הגוונא דהתירו תנור אסר הריטב"א בריחיים חזינן דפירש מתניתין דמיירי באומנות ואינו תואם למש"פ בדף י"א דגודלים תנור מיירי באומנות</w:t>
      </w:r>
      <w:r>
        <w:rPr>
          <w:rtl/>
        </w:rPr>
        <w:t>.</w:t>
      </w:r>
      <w:r>
        <w:rPr>
          <w:rFonts w:hint="cs"/>
          <w:rtl/>
        </w:rPr>
        <w:t xml:space="preserve"> וצע"ג.</w:t>
      </w:r>
    </w:p>
    <w:p w:rsidR="00B570D9" w:rsidRDefault="00B570D9" w:rsidP="00BA06E2">
      <w:pPr>
        <w:rPr>
          <w:rtl/>
        </w:rPr>
      </w:pPr>
      <w:r>
        <w:rPr>
          <w:rFonts w:hint="cs"/>
          <w:rtl/>
        </w:rPr>
        <w:lastRenderedPageBreak/>
        <w:t xml:space="preserve">ויש שרצו לישב (מהר"א ברס) ע"פ מש"כ </w:t>
      </w:r>
      <w:r w:rsidR="00224821">
        <w:rPr>
          <w:rFonts w:hint="cs"/>
          <w:rtl/>
        </w:rPr>
        <w:t>האחרונים וכן המ"ב בסימן תק"מ דההיתר להסיר גבשושית לצורך המועד שהוזכר שבעינן לזה שהוא מלאכה בלא טורח, הוא משום שאף שההיתר הוא משום דהוא צורך המועד, מ"מ בכדי להתיר בלא שינוי הוצרכו לזה שאינו טורח, דאם היה בזה טורח לא היו מתירים בלא שינוי, וא"כ יל"ב דזה מה דמבואר הכא אפילו דבניית הריחיים הוא צורך המועד, מ"מ אסור בלא שינוי כיון שיש בזה טורח.</w:t>
      </w:r>
      <w:r w:rsidR="00BA06E2">
        <w:rPr>
          <w:rFonts w:hint="cs"/>
          <w:rtl/>
        </w:rPr>
        <w:t xml:space="preserve"> אמנם הוא דחוק, לומר דכל האיסור לבנות ריחיים הוא רק בבניייה כדרכו אבל בשינוי יהיה מותר.</w:t>
      </w:r>
    </w:p>
    <w:p w:rsidR="00BA06E2" w:rsidRDefault="00BA06E2" w:rsidP="00BA06E2">
      <w:pPr>
        <w:rPr>
          <w:rtl/>
        </w:rPr>
      </w:pPr>
      <w:r>
        <w:rPr>
          <w:rFonts w:hint="cs"/>
          <w:rtl/>
        </w:rPr>
        <w:t>(ומ"מ הא מיהת יש ללמוד מריש דברי הריטב"א דכתב לגבי העמדת תנור דמותר להעמיד תנור כדרכו בטורח בלא שינוי, דעשיית מכשירי אוכל נפש מותר בלא שינוי, כדין אוכל נפש, וכל מה שכתבו האחרונים לאיסור הוא על צורך המועד בעלמא).</w:t>
      </w:r>
    </w:p>
    <w:p w:rsidR="00AB5F2B" w:rsidRDefault="00A4363E" w:rsidP="00AB5F2B">
      <w:pPr>
        <w:tabs>
          <w:tab w:val="left" w:pos="6616"/>
        </w:tabs>
        <w:rPr>
          <w:rtl/>
        </w:rPr>
      </w:pPr>
      <w:r>
        <w:rPr>
          <w:rFonts w:hint="cs"/>
          <w:rtl/>
        </w:rPr>
        <w:t>שוב שמעתי לישב דברי הריטב"א</w:t>
      </w:r>
      <w:r w:rsidR="00AB5F2B">
        <w:rPr>
          <w:rFonts w:hint="cs"/>
          <w:rtl/>
        </w:rPr>
        <w:t xml:space="preserve"> (מהרב צ' י' ארן) ד</w:t>
      </w:r>
      <w:r w:rsidR="00BA06E2">
        <w:rPr>
          <w:rFonts w:hint="cs"/>
          <w:rtl/>
        </w:rPr>
        <w:t>י"ל ד</w:t>
      </w:r>
      <w:r w:rsidR="00AB5F2B">
        <w:rPr>
          <w:rFonts w:hint="cs"/>
          <w:rtl/>
        </w:rPr>
        <w:t>האיסור שנאסר כאן אלולא דהיה אוכל נפש אינו משום דהוא</w:t>
      </w:r>
      <w:r>
        <w:rPr>
          <w:rFonts w:hint="cs"/>
          <w:rtl/>
        </w:rPr>
        <w:t xml:space="preserve"> מעשה אומן, אלא משום דהוא דבר שיש בו</w:t>
      </w:r>
      <w:r w:rsidR="00AB5F2B">
        <w:rPr>
          <w:rFonts w:hint="cs"/>
          <w:rtl/>
        </w:rPr>
        <w:t xml:space="preserve"> טורח, אבל לעולם הוא מעשה הדיוט, ומותר</w:t>
      </w:r>
      <w:r w:rsidR="008D0420">
        <w:rPr>
          <w:rFonts w:hint="cs"/>
          <w:rtl/>
        </w:rPr>
        <w:t xml:space="preserve"> לטרוח רק לאוכ</w:t>
      </w:r>
      <w:r w:rsidR="00AB5F2B">
        <w:rPr>
          <w:rFonts w:hint="cs"/>
          <w:rtl/>
        </w:rPr>
        <w:t>ל נפש, ובכלל זה מכשירי אוכ"נ ולא מכשירי מכשירין, אבל מלאכת אומנות אסורה אפילו במכשירי אוכ"נ.</w:t>
      </w:r>
    </w:p>
    <w:p w:rsidR="004333E8" w:rsidRDefault="004333E8" w:rsidP="009E190E">
      <w:pPr>
        <w:tabs>
          <w:tab w:val="left" w:pos="6616"/>
        </w:tabs>
        <w:rPr>
          <w:rtl/>
        </w:rPr>
      </w:pPr>
      <w:r>
        <w:rPr>
          <w:rFonts w:hint="cs"/>
          <w:rtl/>
        </w:rPr>
        <w:t>מיהו עדיין צ"ע בזה, דהלא הריטב"א התיר גם עשיית אלפסין וקדרות וכו', כיון שהוא אוכל נפש, והלא התם נרא' פשוט דעשיית קדירה וכדו' הוא מעשה אומנות ובכ"ז התיר הריטב"א, וחזינן דס"ל להריטב"א דמותר לעשות מעשה אומן במכשירי אוכ"נ, וא"כ למה פירש שההיתר לעשות תנור הוא משום דמעשה הדיוט הלא גם במעשה אומן שרי.</w:t>
      </w:r>
      <w:r w:rsidR="009E190E">
        <w:rPr>
          <w:rFonts w:hint="cs"/>
          <w:rtl/>
        </w:rPr>
        <w:t xml:space="preserve"> אא"כ נומר שההיתר בעשיית קדירות ואלפסין הוא במעשה הדיוט, מיהו לא נרא' הכי, וגם בלשון הריטב"א שכ' "</w:t>
      </w:r>
      <w:r w:rsidR="009E190E">
        <w:rPr>
          <w:rtl/>
        </w:rPr>
        <w:t>ופי' מעמידין לעשות בו כל מלאכה לצורך המועד וכדשרינן בגמ' למגדל תנורי ולמעבד מהולתא, מפני שכל אלו שהן מכשירין אוכל נפש ראוי לעשותו כדרכו ובטרחא ובלא שום שינוי, וכן התירו בירושלמי לעשות אלפסין וקדרות וכן שפודים ואסכלאות וסכינין ואפי' לכתחלה וכל שכן לתקנן</w:t>
      </w:r>
      <w:r w:rsidR="009E190E">
        <w:rPr>
          <w:rFonts w:hint="cs"/>
          <w:rtl/>
        </w:rPr>
        <w:t>", משמע בלשונו שההיתר בעשיית מכשירי אוכל נפש הוא גם במעשה אומן.</w:t>
      </w:r>
    </w:p>
    <w:p w:rsidR="00497637" w:rsidRPr="009E190E" w:rsidRDefault="00497637" w:rsidP="009E190E">
      <w:pPr>
        <w:pStyle w:val="2"/>
        <w:rPr>
          <w:rtl/>
        </w:rPr>
      </w:pPr>
      <w:r w:rsidRPr="009E190E">
        <w:rPr>
          <w:rFonts w:hint="cs"/>
          <w:rtl/>
        </w:rPr>
        <w:t>בהיתר הריטב"א דהיכא דאי אפשר בענין אחר שרי הכל</w:t>
      </w:r>
    </w:p>
    <w:p w:rsidR="00497637" w:rsidRDefault="00A4363E" w:rsidP="008A2EAE">
      <w:pPr>
        <w:tabs>
          <w:tab w:val="left" w:pos="6616"/>
        </w:tabs>
        <w:rPr>
          <w:rtl/>
        </w:rPr>
      </w:pPr>
      <w:r>
        <w:rPr>
          <w:rFonts w:hint="cs"/>
          <w:rtl/>
        </w:rPr>
        <w:t>עי"ש בריטב"א בהמשך דבריו ד</w:t>
      </w:r>
      <w:r w:rsidR="003F3F7C">
        <w:rPr>
          <w:rFonts w:hint="cs"/>
          <w:rtl/>
        </w:rPr>
        <w:t>חידש</w:t>
      </w:r>
      <w:r>
        <w:rPr>
          <w:rFonts w:hint="cs"/>
          <w:rtl/>
        </w:rPr>
        <w:t>,</w:t>
      </w:r>
      <w:r w:rsidR="00497637">
        <w:rPr>
          <w:rFonts w:hint="cs"/>
          <w:rtl/>
        </w:rPr>
        <w:t xml:space="preserve"> וז"ל "</w:t>
      </w:r>
      <w:r w:rsidR="008A2EAE">
        <w:rPr>
          <w:rtl/>
        </w:rPr>
        <w:t>ונראה עוד שאין משנתינו אלא ביחיד ובאפשר לו להסתפק בשל רבים, הא בשאי אפשר לו אי נמי לצורך הרבים עושין לדברי הכל אפי' לכתחלה, והכי אמרינן לקמן דשרי למיבני ריחים והיינו כדאמרן</w:t>
      </w:r>
      <w:r w:rsidR="008A2EAE">
        <w:rPr>
          <w:rFonts w:hint="cs"/>
          <w:rtl/>
        </w:rPr>
        <w:t>"</w:t>
      </w:r>
      <w:r w:rsidR="008A2EAE">
        <w:rPr>
          <w:rtl/>
        </w:rPr>
        <w:t>.</w:t>
      </w:r>
      <w:r w:rsidR="008A2EAE">
        <w:rPr>
          <w:rFonts w:hint="cs"/>
          <w:rtl/>
        </w:rPr>
        <w:t xml:space="preserve"> מבואר בדבריו</w:t>
      </w:r>
      <w:r w:rsidR="003F3F7C">
        <w:rPr>
          <w:rFonts w:hint="cs"/>
          <w:rtl/>
        </w:rPr>
        <w:t xml:space="preserve"> דכל האיסור הכא להעמיד ולכבש הריחים הוא באפשר בענין אחר דיטחון במטחנת הציבור וכדומה, אבל </w:t>
      </w:r>
      <w:r w:rsidR="0079675A">
        <w:rPr>
          <w:rFonts w:hint="cs"/>
          <w:rtl/>
        </w:rPr>
        <w:t>בא"א בענין אחר</w:t>
      </w:r>
      <w:r w:rsidR="003F3F7C">
        <w:rPr>
          <w:rFonts w:hint="cs"/>
          <w:rtl/>
        </w:rPr>
        <w:t xml:space="preserve"> מותר לעשות הכל ו</w:t>
      </w:r>
      <w:r w:rsidR="00AB5F2B">
        <w:rPr>
          <w:rFonts w:hint="cs"/>
          <w:rtl/>
        </w:rPr>
        <w:t xml:space="preserve">זה מה שכתוב להלן דמותר למבני ריחיא, ויל"ע אי כונת הריטב"א דבכה"ג שרי </w:t>
      </w:r>
      <w:r w:rsidR="003F3F7C">
        <w:rPr>
          <w:rFonts w:hint="cs"/>
          <w:rtl/>
        </w:rPr>
        <w:t>אפילו אומנות</w:t>
      </w:r>
      <w:r w:rsidR="0079675A">
        <w:rPr>
          <w:rFonts w:hint="cs"/>
          <w:rtl/>
        </w:rPr>
        <w:t>.</w:t>
      </w:r>
      <w:r w:rsidR="003F3F7C">
        <w:rPr>
          <w:rFonts w:hint="cs"/>
          <w:rtl/>
        </w:rPr>
        <w:t xml:space="preserve"> </w:t>
      </w:r>
      <w:r w:rsidR="00AB5F2B">
        <w:rPr>
          <w:rFonts w:hint="cs"/>
          <w:rtl/>
        </w:rPr>
        <w:t>או דמותר רק במלאכת הדיוט אלא דבאי אפשר מותר אפילו טרחה (וע"פ הנ"</w:t>
      </w:r>
      <w:r w:rsidR="00497637">
        <w:rPr>
          <w:rFonts w:hint="cs"/>
          <w:rtl/>
        </w:rPr>
        <w:t>ל דכל האיסור כאן הוא מצד טרחה).</w:t>
      </w:r>
    </w:p>
    <w:p w:rsidR="00497637" w:rsidRDefault="00497637" w:rsidP="00497637">
      <w:pPr>
        <w:tabs>
          <w:tab w:val="left" w:pos="6616"/>
        </w:tabs>
        <w:rPr>
          <w:rtl/>
        </w:rPr>
      </w:pPr>
      <w:r>
        <w:rPr>
          <w:rFonts w:hint="cs"/>
          <w:rtl/>
        </w:rPr>
        <w:t>ולכאור', לא מסתבר דהריטב"א חידש להתיר אפילו מעשה אומנות, דהלא הריטב"א ס"ל דעשיית ריחיים אינו בכלל ההיתר של אוכל נפש כיון דהוא מכשירי מכשירין, והרי בכל צורך המועד אסרינן מעשה אומן אפילו היכא דאי אפשר בענין אחר, כגון למתח חבלי המיטה, או תפירת בגדים מעשה אומן הלא לא מצינו היתר אפילו היכא דאי אפשר לו בענין אחר.</w:t>
      </w:r>
    </w:p>
    <w:p w:rsidR="00497637" w:rsidRDefault="00497637" w:rsidP="008A2EAE">
      <w:pPr>
        <w:tabs>
          <w:tab w:val="left" w:pos="6616"/>
        </w:tabs>
        <w:rPr>
          <w:rFonts w:hint="cs"/>
          <w:rtl/>
        </w:rPr>
      </w:pPr>
      <w:r>
        <w:rPr>
          <w:rFonts w:hint="cs"/>
          <w:rtl/>
        </w:rPr>
        <w:t xml:space="preserve">ולכן, מסתבר לכאורה לפרש כונת הריטב"א דשרי ניקור שהוא מעשה הדיוט, והרבותא היא דבזה שרי אפילו בטרחה. </w:t>
      </w:r>
      <w:r w:rsidR="008A2EAE">
        <w:rPr>
          <w:rFonts w:hint="cs"/>
          <w:rtl/>
        </w:rPr>
        <w:t>וכנ"ל דיל"פ לדעת הריטב"א דהכא אינו מותר כדין כל מלאכת הדיוט לצורך המועד כיון שעשיית הריחיים דהוא בנין שעושים אותו אחת ולתמיד, ויש בו טורח, אמרינן ליה דידחה את בנייתו לאחר המועד.</w:t>
      </w:r>
    </w:p>
    <w:p w:rsidR="00447B2E" w:rsidRDefault="00AB5F2B" w:rsidP="008A2EAE">
      <w:pPr>
        <w:tabs>
          <w:tab w:val="left" w:pos="6616"/>
        </w:tabs>
        <w:rPr>
          <w:rtl/>
        </w:rPr>
      </w:pPr>
      <w:r>
        <w:rPr>
          <w:rFonts w:hint="cs"/>
          <w:rtl/>
        </w:rPr>
        <w:t>ומצינו דוגמתו לגבי מפנים</w:t>
      </w:r>
      <w:r w:rsidR="008A2EAE">
        <w:rPr>
          <w:rFonts w:hint="cs"/>
          <w:rtl/>
        </w:rPr>
        <w:t>, (שו"ע סי' תקל"ה)</w:t>
      </w:r>
      <w:r>
        <w:rPr>
          <w:rFonts w:hint="cs"/>
          <w:rtl/>
        </w:rPr>
        <w:t xml:space="preserve">, דמותר לפנות אפילו בטרחה גדולה היכא דאי אפשר (עי' סי' תקל"ה לגבי אם רבה הזבל בחצר, וכן מדירת אחרים לשלו, היינו דהתירו גם </w:t>
      </w:r>
      <w:r w:rsidR="008A2EAE">
        <w:rPr>
          <w:rFonts w:hint="cs"/>
          <w:rtl/>
        </w:rPr>
        <w:t>טרחה גדולה כאשר הוא מאוד נצרך).</w:t>
      </w:r>
    </w:p>
    <w:p w:rsidR="00406F6D" w:rsidRDefault="00406F6D" w:rsidP="00406F6D">
      <w:pPr>
        <w:tabs>
          <w:tab w:val="left" w:pos="6616"/>
        </w:tabs>
        <w:rPr>
          <w:rtl/>
        </w:rPr>
      </w:pPr>
      <w:r>
        <w:rPr>
          <w:rFonts w:hint="cs"/>
          <w:rtl/>
        </w:rPr>
        <w:t xml:space="preserve">[ויש להרחיב הדבר, דהנה לגבי מפנים, נתבאר במקום אחר (עי' לעיל מש"ב בסוגיא דנמלאכה שאין בה טורח), היכא דנהנה מזה בחוה"מ אבל אינו צורך גמור השייך ישירות למועד, אלא </w:t>
      </w:r>
      <w:r>
        <w:rPr>
          <w:rFonts w:hint="cs"/>
          <w:rtl/>
        </w:rPr>
        <w:lastRenderedPageBreak/>
        <w:t>דבר שנעשה בשביל הנאה מתמשכת שאינה קשור לחוה"מ, ומכיון שיש בזה טורח, אמרינן ליה דידחה זה לאחר המועד אא"כ הוא צורך גדול כמו שרבה הזבל בחצר או לעבור מדירה שאינו שלו לדירה שלו, וגם הכא הוא כן, דעשיית תנור וריחיים הוא דבר שאינו קשור לחוה"מ ואפילו דנהנה מזה בחוה"מ אסרינן מכיון שיש בזה טרחה, ורק היכא דאין לו ברירה שרינן ליה].</w:t>
      </w:r>
    </w:p>
    <w:p w:rsidR="008A2EAE" w:rsidRDefault="008A2EAE" w:rsidP="009E190E">
      <w:pPr>
        <w:pStyle w:val="2"/>
        <w:rPr>
          <w:rFonts w:hint="cs"/>
          <w:rtl/>
        </w:rPr>
      </w:pPr>
      <w:r>
        <w:rPr>
          <w:rFonts w:hint="cs"/>
          <w:rtl/>
        </w:rPr>
        <w:t>בדברי הרא"ש לגבי תיקון ברזלי הסוסים</w:t>
      </w:r>
    </w:p>
    <w:p w:rsidR="008A2EAE" w:rsidRDefault="008A2EAE" w:rsidP="008A2EAE">
      <w:pPr>
        <w:tabs>
          <w:tab w:val="left" w:pos="6616"/>
        </w:tabs>
        <w:rPr>
          <w:rtl/>
        </w:rPr>
      </w:pPr>
      <w:r>
        <w:rPr>
          <w:rFonts w:hint="cs"/>
          <w:rtl/>
        </w:rPr>
        <w:t>ברא"ש סי' י"ט, הביא הבריתא י' א' ב', "</w:t>
      </w:r>
      <w:r>
        <w:rPr>
          <w:rtl/>
        </w:rPr>
        <w:t>ומשום רבינו אמרו סוס שרוכב עליו וחמור שרוכב עליו מותר ליטול צפורניו בחולו של מועד אבל חמרא דריחי' לא</w:t>
      </w:r>
      <w:r>
        <w:rPr>
          <w:rFonts w:hint="cs"/>
          <w:rtl/>
        </w:rPr>
        <w:t>", פירש הרא"ש וז"ל "</w:t>
      </w:r>
      <w:r>
        <w:rPr>
          <w:rtl/>
        </w:rPr>
        <w:t>ומיירי באדם שרגיל ברכיבה ולא למוד ללכת ברגליו וצריך לרכוב לצורך המועד</w:t>
      </w:r>
      <w:r>
        <w:rPr>
          <w:rFonts w:hint="cs"/>
          <w:rtl/>
        </w:rPr>
        <w:t>,</w:t>
      </w:r>
      <w:r>
        <w:rPr>
          <w:rtl/>
        </w:rPr>
        <w:t xml:space="preserve"> וה"ה נמי לתקן ברזלי רגליו ומה שלא הזכירם לפי שבימיהם לא היו רגילין לתקן ברזלים לרגלי הבהמות כמו שעושין בארץ רוסיאה שאינן עושים ברזלים לטלפי סוסיהם אלא רק הצפרנים נוטלין לפי שהארץ עפר תיחוח ואין אבנים מצויין שם. אבל בארץ הזאת שאין הבהמות יכולות לילך בלא ברזלים מותר לתקנן במועד וכן האוכף והרסן אם הוא צריך לרכוב לצורך המועד ובלבד שלא יכוין מלאכתו במועד</w:t>
      </w:r>
      <w:r>
        <w:rPr>
          <w:rFonts w:hint="cs"/>
          <w:rtl/>
        </w:rPr>
        <w:t>".</w:t>
      </w:r>
    </w:p>
    <w:p w:rsidR="008A2EAE" w:rsidRDefault="008A2EAE" w:rsidP="00406F6D">
      <w:pPr>
        <w:tabs>
          <w:tab w:val="left" w:pos="6616"/>
        </w:tabs>
        <w:rPr>
          <w:rFonts w:hint="cs"/>
          <w:rtl/>
        </w:rPr>
      </w:pPr>
      <w:r>
        <w:rPr>
          <w:rFonts w:hint="cs"/>
          <w:rtl/>
        </w:rPr>
        <w:t xml:space="preserve">והנה, הרא"ש פתח דההיתר למישקל טופרא הוא באדם שאינו למוד ללכת ברגליו, וצריך לרכוב לצורך המועד, ואחרי כן כתב הרא"ש דיש היתר גם לתקן הברזלים וכו', ולכאור' צ"ע </w:t>
      </w:r>
      <w:r w:rsidR="001F13A8">
        <w:rPr>
          <w:rFonts w:hint="cs"/>
          <w:rtl/>
        </w:rPr>
        <w:t>הלא בפשטות מיירי בתיקון של אומנות, ומה ההיתר בכה"ג הא עשית מעשה אומן בחוהמ לצורך המועד שאין בו אוכל נפש אסורה.</w:t>
      </w:r>
    </w:p>
    <w:p w:rsidR="001F13A8" w:rsidRDefault="001F13A8" w:rsidP="001F13A8">
      <w:pPr>
        <w:tabs>
          <w:tab w:val="left" w:pos="6616"/>
        </w:tabs>
        <w:rPr>
          <w:rtl/>
        </w:rPr>
      </w:pPr>
      <w:r>
        <w:rPr>
          <w:rFonts w:hint="cs"/>
          <w:rtl/>
        </w:rPr>
        <w:t>ויש רצו ללמוד מכאן, דאפילו שבכל צורך המועד לא הותר מעשה אומן, מ"מ בצורך גדול כזה שיש בו השלמת תיפקוד האדם, כמו הגוונא של הרא"ש שאינו יכול ללכת ברגליו וצריך לזה סוס לרכב עליו, מותר לתקן ברזלי הסוס.</w:t>
      </w:r>
    </w:p>
    <w:p w:rsidR="001F13A8" w:rsidRDefault="004333E8" w:rsidP="001F13A8">
      <w:pPr>
        <w:tabs>
          <w:tab w:val="left" w:pos="6616"/>
        </w:tabs>
        <w:rPr>
          <w:rtl/>
        </w:rPr>
      </w:pPr>
      <w:r>
        <w:rPr>
          <w:rFonts w:hint="cs"/>
          <w:rtl/>
        </w:rPr>
        <w:t>וא"</w:t>
      </w:r>
      <w:r w:rsidR="009E190E">
        <w:rPr>
          <w:rFonts w:hint="cs"/>
          <w:rtl/>
        </w:rPr>
        <w:t>כ, נוכל לפרש שזהו ההיתר של הריטב"א בעשיית מעשה אומן היכא דאי אפשר לו בענין אחר, שמכיון דהוא למעשה נצרך בשביל לאכול שהוא צורך גדול לגוף האדם, לכן זה מותר בחוה"מ אפילו שהדבר בעצמותו אינו מוגדר מכשירי אוכל נפש.</w:t>
      </w:r>
    </w:p>
    <w:p w:rsidR="00566495" w:rsidRDefault="009E190E" w:rsidP="00566495">
      <w:pPr>
        <w:tabs>
          <w:tab w:val="left" w:pos="6616"/>
        </w:tabs>
        <w:rPr>
          <w:rtl/>
        </w:rPr>
      </w:pPr>
      <w:r>
        <w:rPr>
          <w:rFonts w:hint="cs"/>
          <w:rtl/>
        </w:rPr>
        <w:t>אמנם הוא חידוש, ועיקה"ד לומר דזהו מה שחידש הרא"ש, תמוה, מנין המקור של הרא"ש לזה, דהלא הוא למד זה ממה ש</w:t>
      </w:r>
      <w:r w:rsidR="00596B28">
        <w:rPr>
          <w:rFonts w:hint="cs"/>
          <w:rtl/>
        </w:rPr>
        <w:t>התירו למשקל טופרא והתם הוא מלאכת הדיוט, וגם, דהלא ההיתר למשקל טופרא דהוא מעשה הדיוט הוא היתר בכל צורך המועד, ולא דוקא במקום דאינו למוד לילך ברגליו, ועי' בב"י סי' תק</w:t>
      </w:r>
      <w:r w:rsidR="00566495">
        <w:rPr>
          <w:rFonts w:hint="cs"/>
          <w:rtl/>
        </w:rPr>
        <w:t>ל"ו שהביא דברי הרא"ש הללו, וכתב שגם לצורך טיול נראה דהוא נחשב צורך, ומשמע דכל צורך מתיר.</w:t>
      </w:r>
    </w:p>
    <w:p w:rsidR="00566495" w:rsidRDefault="00566495" w:rsidP="00566495">
      <w:pPr>
        <w:tabs>
          <w:tab w:val="left" w:pos="6616"/>
        </w:tabs>
        <w:rPr>
          <w:rtl/>
        </w:rPr>
      </w:pPr>
      <w:r>
        <w:rPr>
          <w:rFonts w:hint="cs"/>
          <w:rtl/>
        </w:rPr>
        <w:t>ולכן משמע לכאורה דמיירי תיקון הברזלים היכא דהוא מעשה הדיוט, ובהא התיר. ומה שכתב שההיתר הוא באינו למוד לילך ברגליו, אין כונתו באופן דאינו יכול לילך ברגליו כלל, אלא דאם רוצה כעת לילך למקום שבדרך כלל רגיל לילך לשם ברגליו אינו יכול להחליט דכעת הוא ירכב על הסוס ויתקן צפרניו של הסוס וברזליו לצורך זה, ורק אם רוצה לילך למקום שבדרך כלל דרכו לרכב לשם על סוס בזה שרי גם כעת לתקן למעשה הדיוט לצורך אותה רכיבה.</w:t>
      </w:r>
    </w:p>
    <w:p w:rsidR="009E1C3C" w:rsidRDefault="009E1C3C" w:rsidP="00566495">
      <w:pPr>
        <w:pStyle w:val="2"/>
        <w:rPr>
          <w:rtl/>
        </w:rPr>
      </w:pPr>
      <w:r>
        <w:rPr>
          <w:rFonts w:hint="cs"/>
          <w:rtl/>
        </w:rPr>
        <w:t>בדברי המרדכי בשם הירושלמי</w:t>
      </w:r>
    </w:p>
    <w:p w:rsidR="009E1C3C" w:rsidRDefault="00022962" w:rsidP="00D575D5">
      <w:pPr>
        <w:tabs>
          <w:tab w:val="left" w:pos="6616"/>
        </w:tabs>
        <w:rPr>
          <w:rtl/>
        </w:rPr>
      </w:pPr>
      <w:r>
        <w:rPr>
          <w:rFonts w:hint="cs"/>
          <w:rtl/>
        </w:rPr>
        <w:t xml:space="preserve">והנה במרדכי </w:t>
      </w:r>
      <w:r w:rsidR="00D575D5">
        <w:rPr>
          <w:rFonts w:hint="cs"/>
          <w:rtl/>
        </w:rPr>
        <w:t xml:space="preserve">(רמז תתקמד) </w:t>
      </w:r>
      <w:r>
        <w:rPr>
          <w:rFonts w:hint="cs"/>
          <w:rtl/>
        </w:rPr>
        <w:t>הביא בשם הראבי"ה</w:t>
      </w:r>
      <w:r w:rsidR="009E1C3C">
        <w:rPr>
          <w:rFonts w:hint="cs"/>
          <w:rtl/>
        </w:rPr>
        <w:t xml:space="preserve"> וז"ל "</w:t>
      </w:r>
      <w:r w:rsidR="009E1C3C">
        <w:rPr>
          <w:rtl/>
        </w:rPr>
        <w:t>כתב ראב"י העזרי כי היכי דמתניתין ס"פ המביא דתנור וכירים חדשים אין טשין ואין סכין אותם ואין מפיגין אותן בצונן כדי לחזקם ואם בשביל לאפות מותר ה"נ מיתני' בירושלמי לענין חה"מ ומסיים הורה רבי יודן מדוחק להביא כירה חדשה מבית האומן לשפות עליה הקדרה בי"ט</w:t>
      </w:r>
      <w:r w:rsidR="00D575D5">
        <w:rPr>
          <w:rFonts w:hint="cs"/>
          <w:rtl/>
        </w:rPr>
        <w:t>"</w:t>
      </w:r>
      <w:r w:rsidR="009E1C3C">
        <w:rPr>
          <w:rFonts w:hint="cs"/>
          <w:rtl/>
        </w:rPr>
        <w:t>.</w:t>
      </w:r>
      <w:r w:rsidR="00D575D5">
        <w:rPr>
          <w:rFonts w:hint="cs"/>
          <w:rtl/>
        </w:rPr>
        <w:t xml:space="preserve"> </w:t>
      </w:r>
      <w:r w:rsidR="009E1C3C">
        <w:rPr>
          <w:rFonts w:hint="cs"/>
          <w:rtl/>
        </w:rPr>
        <w:t>ודברי המדרכי הובאו בב"י</w:t>
      </w:r>
      <w:r w:rsidR="00D575D5">
        <w:rPr>
          <w:rFonts w:hint="cs"/>
          <w:rtl/>
        </w:rPr>
        <w:t xml:space="preserve"> סוף</w:t>
      </w:r>
      <w:r w:rsidR="009E1C3C">
        <w:rPr>
          <w:rFonts w:hint="cs"/>
          <w:rtl/>
        </w:rPr>
        <w:t xml:space="preserve"> סי' תק"מ</w:t>
      </w:r>
      <w:r w:rsidR="00D575D5">
        <w:rPr>
          <w:rFonts w:hint="cs"/>
          <w:rtl/>
        </w:rPr>
        <w:t>.</w:t>
      </w:r>
    </w:p>
    <w:p w:rsidR="009E1C3C" w:rsidRDefault="009E1C3C" w:rsidP="00C607D8">
      <w:pPr>
        <w:tabs>
          <w:tab w:val="left" w:pos="6616"/>
        </w:tabs>
        <w:rPr>
          <w:rtl/>
        </w:rPr>
      </w:pPr>
      <w:r>
        <w:rPr>
          <w:rFonts w:hint="cs"/>
          <w:rtl/>
        </w:rPr>
        <w:t>והנה בראבי"</w:t>
      </w:r>
      <w:r w:rsidR="00D575D5">
        <w:rPr>
          <w:rFonts w:hint="cs"/>
          <w:rtl/>
        </w:rPr>
        <w:t xml:space="preserve">ה גופיה נקט מכח כן דמצינו בירושלמי שאין טשין וכו', דהלכה כרב הונא דאסר גם ניקור ריחיא, ולכן אסר להלכה ניקור ריחיא. מיהו במרדכי מסתימות דבריו שם </w:t>
      </w:r>
      <w:r w:rsidR="00C607D8">
        <w:rPr>
          <w:rFonts w:hint="cs"/>
          <w:rtl/>
        </w:rPr>
        <w:t>בד"ה שכתב "</w:t>
      </w:r>
      <w:r w:rsidR="00C607D8">
        <w:rPr>
          <w:rtl/>
        </w:rPr>
        <w:t>נוקרין ריחיים במועד</w:t>
      </w:r>
      <w:r w:rsidR="00C607D8">
        <w:rPr>
          <w:rFonts w:hint="cs"/>
          <w:rtl/>
        </w:rPr>
        <w:t xml:space="preserve">", משמע דחילק והתיר ניקור ואעפ"כ אסור טשין וכו', וכן בב"י </w:t>
      </w:r>
      <w:r w:rsidR="00C607D8">
        <w:rPr>
          <w:rFonts w:hint="cs"/>
          <w:rtl/>
        </w:rPr>
        <w:lastRenderedPageBreak/>
        <w:t>שם העתיק דברי המדרכי בשם הירושלמי אף שלעי"מ שם לא הביא דיעה האוסרת ניקור (ואפילו בת עינא התיר בשם הרמב"ם).</w:t>
      </w:r>
    </w:p>
    <w:p w:rsidR="00C607D8" w:rsidRDefault="00C607D8" w:rsidP="00C607D8">
      <w:pPr>
        <w:tabs>
          <w:tab w:val="left" w:pos="6616"/>
        </w:tabs>
        <w:rPr>
          <w:rtl/>
        </w:rPr>
      </w:pPr>
      <w:r>
        <w:rPr>
          <w:rFonts w:hint="cs"/>
          <w:rtl/>
        </w:rPr>
        <w:t>ובתוס' י' א' ד"ה רבי יהודה, דהביאו דברי הירושלמי הללו בכדי ליתן דוגמא למעמידים תנור שמותר, משמע דפירשו דהירושלמי העתיק את הבריתא דכתבה הכי לגבי יו"ט אבל בחוה"מ מותר, וכ"נ להדיא בתוה"ר.</w:t>
      </w:r>
    </w:p>
    <w:p w:rsidR="00022962" w:rsidRDefault="00C607D8" w:rsidP="00406F6D">
      <w:pPr>
        <w:tabs>
          <w:tab w:val="left" w:pos="6616"/>
        </w:tabs>
        <w:rPr>
          <w:rtl/>
        </w:rPr>
      </w:pPr>
      <w:r>
        <w:rPr>
          <w:rFonts w:hint="cs"/>
          <w:rtl/>
        </w:rPr>
        <w:t>ויתכן דמ"מ המרדכי חילק דהעמדת ריחים וכן ניקור מותרת כיון דהוא מעשה הדיוט, וטשין אסור כיון דהוא מעשה אומן. וצ"ע</w:t>
      </w:r>
      <w:r w:rsidR="00406F6D">
        <w:rPr>
          <w:rFonts w:hint="cs"/>
          <w:rtl/>
        </w:rPr>
        <w:t xml:space="preserve"> דבתוס' משמע להדיא דהוא בכלל מעמידים דמוסכם להיתר לכו"ע אפילו דניקור לכו"ע אסור</w:t>
      </w:r>
      <w:r>
        <w:rPr>
          <w:rFonts w:hint="cs"/>
          <w:rtl/>
        </w:rPr>
        <w:t>.</w:t>
      </w:r>
      <w:r w:rsidR="00406F6D">
        <w:rPr>
          <w:rFonts w:hint="cs"/>
          <w:rtl/>
        </w:rPr>
        <w:t xml:space="preserve"> והרב צ' י' ארן ר"ל די"ל דטעם האיסור בטשין וסכים וכו' משום דאינו כ"כ צורך המועד כיון דאפשר להשתמש בתנור בלאו הכי ואינו מונע השימוש.</w:t>
      </w:r>
      <w:r w:rsidR="008D0420">
        <w:rPr>
          <w:rFonts w:hint="cs"/>
          <w:rtl/>
        </w:rPr>
        <w:t xml:space="preserve"> וצ"ע.</w:t>
      </w:r>
    </w:p>
    <w:p w:rsidR="008D0420" w:rsidRDefault="008D0420" w:rsidP="008D0420">
      <w:pPr>
        <w:tabs>
          <w:tab w:val="left" w:pos="6616"/>
        </w:tabs>
        <w:rPr>
          <w:rtl/>
        </w:rPr>
      </w:pPr>
      <w:r>
        <w:rPr>
          <w:rFonts w:hint="cs"/>
          <w:rtl/>
        </w:rPr>
        <w:t>ועי' עוד בסוף דברי הירושלמי שם "</w:t>
      </w:r>
      <w:r>
        <w:rPr>
          <w:rtl/>
        </w:rPr>
        <w:t>רבי יודן בי רבי ישמעאל הורי מדוחק להביא כירה חדשה מבית האומן לשפות עליה את הקדירה בתחילה ביום טוב</w:t>
      </w:r>
      <w:r>
        <w:rPr>
          <w:rFonts w:hint="cs"/>
          <w:rtl/>
        </w:rPr>
        <w:t>".</w:t>
      </w:r>
      <w:r>
        <w:rPr>
          <w:rtl/>
        </w:rPr>
        <w:t xml:space="preserve"> </w:t>
      </w:r>
      <w:r>
        <w:rPr>
          <w:rFonts w:hint="cs"/>
          <w:rtl/>
        </w:rPr>
        <w:t xml:space="preserve">וביאר בפני משה דהאיסור </w:t>
      </w:r>
      <w:r>
        <w:rPr>
          <w:rtl/>
        </w:rPr>
        <w:t>הואיל וע"י כך מתחסמין הן אין לעשות כך לכתחלה</w:t>
      </w:r>
      <w:r>
        <w:rPr>
          <w:rFonts w:hint="cs"/>
          <w:rtl/>
        </w:rPr>
        <w:t>, ובדרכ"מ סו"ס תק"מ כתב דגם סוף הירושלמי אזיל אחוה"מ, ולכאור' מבואר מדשרי רק מדוחק דהיינו כשאין לו אפשרות אחרת, דאסור מלאכה בפס"ר, כל היכא דאפשר להימנע ולעשות את הצורך באופן שלא יגרום מלאכה, וצ"ע. [מיהו בתוס' ובתוה"ר בדף י' א' משמע דפירשו דברי הירשלמי דמיירי איו"ט ולא אחוה"מ, ולפי שיטתם ליכא ראיה]. ועי' מ"ש בזה לעיל בסוגיא דמלאכה שאין בה טורח (אות ו'.....).</w:t>
      </w:r>
    </w:p>
    <w:p w:rsidR="00CB0EDB" w:rsidRDefault="00CB0EDB" w:rsidP="009E190E">
      <w:pPr>
        <w:pStyle w:val="2"/>
        <w:rPr>
          <w:rtl/>
        </w:rPr>
      </w:pPr>
      <w:r>
        <w:rPr>
          <w:rFonts w:hint="cs"/>
          <w:rtl/>
        </w:rPr>
        <w:t>בשיטת הרמב"ם</w:t>
      </w:r>
    </w:p>
    <w:p w:rsidR="00CB0EDB" w:rsidRDefault="00CB0EDB" w:rsidP="00CB0EDB">
      <w:pPr>
        <w:tabs>
          <w:tab w:val="left" w:pos="6616"/>
        </w:tabs>
        <w:rPr>
          <w:rtl/>
        </w:rPr>
      </w:pPr>
      <w:r>
        <w:rPr>
          <w:rFonts w:hint="cs"/>
          <w:rtl/>
        </w:rPr>
        <w:t>ב</w:t>
      </w:r>
      <w:r>
        <w:rPr>
          <w:rtl/>
        </w:rPr>
        <w:t>רמב"ם הל</w:t>
      </w:r>
      <w:r>
        <w:rPr>
          <w:rFonts w:hint="cs"/>
          <w:rtl/>
        </w:rPr>
        <w:t>'</w:t>
      </w:r>
      <w:r>
        <w:rPr>
          <w:rtl/>
        </w:rPr>
        <w:t xml:space="preserve"> יום טוב פרק ח</w:t>
      </w:r>
      <w:r>
        <w:rPr>
          <w:rFonts w:hint="cs"/>
          <w:rtl/>
        </w:rPr>
        <w:t xml:space="preserve"> י"ג, </w:t>
      </w:r>
      <w:r>
        <w:rPr>
          <w:rtl/>
        </w:rPr>
        <w:t>תנור וכירים שאפשר שייבשו ויאפה בהן במועד עושין אותן ואם לאו אין עושין אותן, ובין כך ובין כך בונין על חרש של תנור ועל הכירה הטפילה שלהן ומסרגין את המטות, ונוקרין את הריחים ופותחים להן עין ומעמידין אותן ובונין אמת המים של ריחים.</w:t>
      </w:r>
    </w:p>
    <w:p w:rsidR="00CB0EDB" w:rsidRDefault="00CB0EDB" w:rsidP="00CB0EDB">
      <w:pPr>
        <w:tabs>
          <w:tab w:val="left" w:pos="6616"/>
        </w:tabs>
        <w:rPr>
          <w:rtl/>
        </w:rPr>
      </w:pPr>
      <w:r>
        <w:rPr>
          <w:rFonts w:hint="cs"/>
          <w:rtl/>
        </w:rPr>
        <w:t>והנה, בפשטות יש ללמוד דדעת הרמב"ם דמותר כל מכשירי אוכ"נ גם מעשה אומנות, שהרי עשיית בת עין בתנור וכירים לכאורה הוא מעשה אומנות, וכמ"ש הראב"ד (המובא ברא"ש), ובכל זאת התיר הרמב"ם, וא"כ לכאורה דעת הרמב"ם שמותר מכשירי אוכ"נ גם באומנות וכמ"ש הרמב"ן להדיא והכי נקט הב"י.</w:t>
      </w:r>
    </w:p>
    <w:p w:rsidR="00497637" w:rsidRDefault="00497637" w:rsidP="00CB0EDB">
      <w:pPr>
        <w:tabs>
          <w:tab w:val="left" w:pos="6616"/>
        </w:tabs>
        <w:rPr>
          <w:rtl/>
        </w:rPr>
      </w:pPr>
      <w:r>
        <w:rPr>
          <w:rFonts w:hint="cs"/>
          <w:rtl/>
        </w:rPr>
        <w:t xml:space="preserve">מיהו, יש לדקדק במה שכתב הרמב"ם בתוך דבריו "ומסרגין את המיטות", שזהו ודאי אינו היתר בדין מכשירי אוכל נפש, אלא היתר לצורך המועד במעשה הדיוט, ולכאור' יש מכך משמעות שכל ההיתר </w:t>
      </w:r>
    </w:p>
    <w:p w:rsidR="006D10D7" w:rsidRDefault="006D10D7" w:rsidP="009E190E">
      <w:pPr>
        <w:pStyle w:val="2"/>
        <w:rPr>
          <w:rtl/>
        </w:rPr>
      </w:pPr>
      <w:r>
        <w:rPr>
          <w:rFonts w:hint="cs"/>
          <w:rtl/>
        </w:rPr>
        <w:t>חפירת בורות של יחיד</w:t>
      </w:r>
    </w:p>
    <w:p w:rsidR="003F3F7C" w:rsidRDefault="0067432C" w:rsidP="003F3F7C">
      <w:pPr>
        <w:rPr>
          <w:rtl/>
        </w:rPr>
      </w:pPr>
      <w:r>
        <w:rPr>
          <w:rFonts w:hint="cs"/>
          <w:rtl/>
        </w:rPr>
        <w:t>בדף ה', מצינו לגבי חפירת בורות של יחיד ושל רבים, והעולה מהסוגיא שם</w:t>
      </w:r>
      <w:r w:rsidR="006D10D7">
        <w:rPr>
          <w:rFonts w:hint="cs"/>
          <w:rtl/>
        </w:rPr>
        <w:t>, דבורות של יחיד אסור לחפור, ורק לחטוט מותר כשצריך, ובורות של רבים מותר לחטוט אפילו אין צריכים, ולחפור מותר כשצריכים, ונחלקו הראשונים מה הביאור בצריך ואין צריך.</w:t>
      </w:r>
    </w:p>
    <w:p w:rsidR="003F3F7C" w:rsidRDefault="003F3F7C" w:rsidP="003F3F7C">
      <w:pPr>
        <w:rPr>
          <w:rtl/>
        </w:rPr>
      </w:pPr>
      <w:r>
        <w:rPr>
          <w:rFonts w:hint="cs"/>
          <w:rtl/>
        </w:rPr>
        <w:t>דעת תוס' מובא בריטב"א (אינו לפנינו), דצורך היינו צורך מיד לאחר המועד, וגם בזה ביחיד מותר חטיטה, וב</w:t>
      </w:r>
      <w:r w:rsidR="004B7D28">
        <w:rPr>
          <w:rFonts w:hint="cs"/>
          <w:rtl/>
        </w:rPr>
        <w:t xml:space="preserve">של </w:t>
      </w:r>
      <w:r>
        <w:rPr>
          <w:rFonts w:hint="cs"/>
          <w:rtl/>
        </w:rPr>
        <w:t>רבים</w:t>
      </w:r>
      <w:r w:rsidR="004B7D28">
        <w:rPr>
          <w:rFonts w:hint="cs"/>
          <w:rtl/>
        </w:rPr>
        <w:t xml:space="preserve"> מותר אפילו</w:t>
      </w:r>
      <w:r>
        <w:rPr>
          <w:rFonts w:hint="cs"/>
          <w:rtl/>
        </w:rPr>
        <w:t xml:space="preserve"> חפירה, ואינו צריך היינו </w:t>
      </w:r>
      <w:r w:rsidR="00783FB2">
        <w:rPr>
          <w:rFonts w:hint="cs"/>
          <w:rtl/>
        </w:rPr>
        <w:t>כשאינו צרי</w:t>
      </w:r>
      <w:r w:rsidR="004B7D28">
        <w:rPr>
          <w:rFonts w:hint="cs"/>
          <w:rtl/>
        </w:rPr>
        <w:t>ך מיד לאחר המועד אלא לאחר זמן, ובזה מותר בשל רבים חטיטה ובשל יחיד אסור.</w:t>
      </w:r>
    </w:p>
    <w:p w:rsidR="004B7D28" w:rsidRDefault="004B7D28" w:rsidP="00AB4DD0">
      <w:pPr>
        <w:rPr>
          <w:rtl/>
        </w:rPr>
      </w:pPr>
      <w:r>
        <w:rPr>
          <w:rFonts w:hint="cs"/>
          <w:rtl/>
        </w:rPr>
        <w:t>וברמב"ן ריש מ</w:t>
      </w:r>
      <w:r>
        <w:rPr>
          <w:rtl/>
        </w:rPr>
        <w:t>ועד קטן</w:t>
      </w:r>
      <w:r>
        <w:rPr>
          <w:rFonts w:hint="cs"/>
          <w:rtl/>
        </w:rPr>
        <w:t xml:space="preserve"> פירש דמה דאסרו </w:t>
      </w:r>
      <w:r>
        <w:rPr>
          <w:rtl/>
        </w:rPr>
        <w:t xml:space="preserve">חפירת בורות שיחין ומערות של יחיד </w:t>
      </w:r>
      <w:r w:rsidR="00AB4DD0">
        <w:rPr>
          <w:rFonts w:hint="cs"/>
          <w:rtl/>
        </w:rPr>
        <w:t>הכל מיירי היכא דהוא להרוחה, אבל אם אי</w:t>
      </w:r>
      <w:r>
        <w:rPr>
          <w:rtl/>
        </w:rPr>
        <w:t xml:space="preserve">ן לו מה ישתה מותר, </w:t>
      </w:r>
      <w:r w:rsidR="00AB4DD0">
        <w:rPr>
          <w:rFonts w:hint="cs"/>
          <w:rtl/>
        </w:rPr>
        <w:t>ש</w:t>
      </w:r>
      <w:r w:rsidR="00AB4DD0">
        <w:rPr>
          <w:rtl/>
        </w:rPr>
        <w:t>כשאין לו מה לשתות אפי' חפירה מותרת בטריח ובמלאכת אומן, ובלבד לצורך המועד כלומר בור שהוא צריך לשתיה שלו, הא לחפור בור גדול והוא אינו צריך אלא לשתייה שלו או לשנים ושלשה בני ביתו אסו</w:t>
      </w:r>
      <w:r w:rsidR="00AB4DD0">
        <w:rPr>
          <w:rFonts w:hint="cs"/>
          <w:rtl/>
        </w:rPr>
        <w:t xml:space="preserve">ר. </w:t>
      </w:r>
      <w:r>
        <w:rPr>
          <w:rtl/>
        </w:rPr>
        <w:t xml:space="preserve">ולא אסרוה אלא בשיש לו לשתות מן הנהר וממקום שהרבים שותין, אלא שדרך בעלי בתים לשתות מבורות שלהם בבתים ועכשיו כלו המים שלו והוא צריך לחזור ולמלאותן ולשתות מהן כדרכו במועד לפיכך התירו לו חטיטה. ושאין היחיד צריך להן היינו שיש לו מים בבור </w:t>
      </w:r>
      <w:r>
        <w:rPr>
          <w:rtl/>
        </w:rPr>
        <w:lastRenderedPageBreak/>
        <w:t>או ממקום שרגיל לשתות כגון נהר קרוב לבית, והוא כונסן לימות הקי</w:t>
      </w:r>
      <w:r w:rsidR="00AB4DD0">
        <w:rPr>
          <w:rtl/>
        </w:rPr>
        <w:t>ץ כשהנהרות מכזבין והבורות כלין</w:t>
      </w:r>
      <w:r w:rsidR="00AB4DD0">
        <w:rPr>
          <w:rFonts w:hint="cs"/>
          <w:rtl/>
        </w:rPr>
        <w:t>.</w:t>
      </w:r>
    </w:p>
    <w:p w:rsidR="00AB4DD0" w:rsidRDefault="00AB4DD0" w:rsidP="00634D6E">
      <w:pPr>
        <w:rPr>
          <w:rtl/>
        </w:rPr>
      </w:pPr>
      <w:r>
        <w:rPr>
          <w:rFonts w:hint="cs"/>
          <w:rtl/>
        </w:rPr>
        <w:t>וכן כתב בריטב"א בשם הרמב"ן, אלא דהוא פירש אין צריך היינו דהיחיד יכול להסתפק מהבור של רבים והוא רוצה בהרוחה לשתות מש</w:t>
      </w:r>
      <w:r w:rsidR="00634D6E">
        <w:rPr>
          <w:rFonts w:hint="cs"/>
          <w:rtl/>
        </w:rPr>
        <w:t>ל</w:t>
      </w:r>
      <w:r>
        <w:rPr>
          <w:rFonts w:hint="cs"/>
          <w:rtl/>
        </w:rPr>
        <w:t xml:space="preserve"> עצמו (אבל לא בדרגה של טירחה כגון לילך לנהר דזה נחשב צריך).</w:t>
      </w:r>
    </w:p>
    <w:p w:rsidR="00AB4DD0" w:rsidRDefault="00AB4DD0" w:rsidP="00AB4DD0">
      <w:pPr>
        <w:rPr>
          <w:rtl/>
        </w:rPr>
      </w:pPr>
      <w:r>
        <w:rPr>
          <w:rFonts w:hint="cs"/>
          <w:rtl/>
        </w:rPr>
        <w:t xml:space="preserve">ובמ"מ </w:t>
      </w:r>
    </w:p>
    <w:p w:rsidR="00AB4DD0" w:rsidRDefault="00AB4DD0" w:rsidP="00AB4DD0">
      <w:pPr>
        <w:rPr>
          <w:rtl/>
        </w:rPr>
      </w:pPr>
    </w:p>
    <w:p w:rsidR="00AA0539" w:rsidRDefault="00AA0539" w:rsidP="006D10D7">
      <w:pPr>
        <w:rPr>
          <w:rtl/>
        </w:rPr>
      </w:pPr>
      <w:r>
        <w:rPr>
          <w:rFonts w:hint="cs"/>
          <w:rtl/>
        </w:rPr>
        <w:t>מש"כ הריטב"א דכל הנושא בריחים הוא רק אם יכול להשתמש בשל רבים, אבל בלא"ה, או בשל רבים מותר הכל, לכאור' הוא דימוי להמבואר לגבי חפירת בורות, מיהו לא דמי דהתם הוא נושא של טירחה במכשירים, אבל הכא הוא ענין של מכשירי מכשירים.</w:t>
      </w:r>
    </w:p>
    <w:p w:rsidR="00AA0539" w:rsidRDefault="00AA0539" w:rsidP="006D10D7">
      <w:pPr>
        <w:rPr>
          <w:rtl/>
        </w:rPr>
      </w:pPr>
      <w:r>
        <w:rPr>
          <w:rFonts w:hint="cs"/>
          <w:rtl/>
        </w:rPr>
        <w:t>החילוק בין חפירה לחטיטה, עי' טור דחפירה הוא אומנות, ולפ"ז על פניו ברמב"ן וסיעתי' (ריטב"א תלמיד הרשב"א) דכתבו להתיר בצריך צורך גמור חזינן דשרי אפילו אומנות במכשרים, דלא כהראב"ד המו' ברא"ש, ובלא"ה חזינן דלא ס"ל כדבריהם.</w:t>
      </w:r>
    </w:p>
    <w:p w:rsidR="00D575D5" w:rsidRDefault="00D575D5" w:rsidP="006D10D7">
      <w:pPr>
        <w:rPr>
          <w:rtl/>
        </w:rPr>
      </w:pPr>
      <w:r>
        <w:rPr>
          <w:rFonts w:hint="cs"/>
          <w:rtl/>
        </w:rPr>
        <w:t>בריטב"א ב' א' לגבי אמת המים ביאר דמיירי שם אפיללו לצורך המועד, מ"מ אסור משום דהוא רחוק מאוד מאוכל נפש.</w:t>
      </w:r>
    </w:p>
    <w:p w:rsidR="00F638B7" w:rsidRPr="00F638B7" w:rsidRDefault="00F638B7" w:rsidP="006D10D7">
      <w:pPr>
        <w:rPr>
          <w:u w:val="single"/>
          <w:rtl/>
        </w:rPr>
      </w:pPr>
      <w:r w:rsidRPr="00F638B7">
        <w:rPr>
          <w:rFonts w:hint="cs"/>
          <w:u w:val="single"/>
          <w:rtl/>
        </w:rPr>
        <w:t>חבורה מה</w:t>
      </w:r>
      <w:r>
        <w:rPr>
          <w:rFonts w:hint="cs"/>
          <w:u w:val="single"/>
          <w:rtl/>
        </w:rPr>
        <w:t>ג</w:t>
      </w:r>
      <w:r w:rsidRPr="00F638B7">
        <w:rPr>
          <w:rFonts w:hint="cs"/>
          <w:u w:val="single"/>
          <w:rtl/>
        </w:rPr>
        <w:t>ר"א ברס.</w:t>
      </w:r>
    </w:p>
    <w:p w:rsidR="00F638B7" w:rsidRDefault="00F638B7" w:rsidP="006D10D7">
      <w:pPr>
        <w:rPr>
          <w:rtl/>
        </w:rPr>
      </w:pPr>
      <w:r>
        <w:rPr>
          <w:rFonts w:hint="cs"/>
          <w:rtl/>
        </w:rPr>
        <w:t>שי' הרמב"ן שמותר אפילו מעשה אומנות, כ"מ מיא ב' שרי לאמי תנוראה משמע דהוא אומנות. (עי' לשון רש"י סוכה מגדל הוא אומנות).</w:t>
      </w:r>
    </w:p>
    <w:p w:rsidR="00F638B7" w:rsidRDefault="00F638B7" w:rsidP="00F638B7">
      <w:pPr>
        <w:rPr>
          <w:rtl/>
        </w:rPr>
      </w:pPr>
      <w:r>
        <w:rPr>
          <w:rFonts w:hint="cs"/>
          <w:rtl/>
        </w:rPr>
        <w:t>הרמב"ן הק' ע"ז, ממגדל איזלי, רשתות ליונים, ביאר הרמב"ן דהוא מכשירי מכשירים.</w:t>
      </w:r>
    </w:p>
    <w:p w:rsidR="00F638B7" w:rsidRDefault="00F638B7" w:rsidP="006D10D7">
      <w:pPr>
        <w:rPr>
          <w:rtl/>
        </w:rPr>
      </w:pPr>
      <w:r>
        <w:rPr>
          <w:rFonts w:hint="cs"/>
          <w:rtl/>
        </w:rPr>
        <w:t>שי' הריטבא י"א, דילפינן מאיזלי, דאסור אומנות, ומיגדל תנורי הוא מעשה הדיוט.</w:t>
      </w:r>
    </w:p>
    <w:p w:rsidR="00F638B7" w:rsidRDefault="00F638B7" w:rsidP="006D10D7">
      <w:pPr>
        <w:rPr>
          <w:rtl/>
        </w:rPr>
      </w:pPr>
      <w:r>
        <w:rPr>
          <w:rFonts w:hint="cs"/>
          <w:rtl/>
        </w:rPr>
        <w:t>וכן בתלמיד הרשב"א הביא מחלוקת אי שרי אומנות.</w:t>
      </w:r>
    </w:p>
    <w:p w:rsidR="008D0420" w:rsidRDefault="008D0420" w:rsidP="006D10D7">
      <w:pPr>
        <w:rPr>
          <w:rtl/>
        </w:rPr>
      </w:pPr>
      <w:r>
        <w:rPr>
          <w:rFonts w:hint="cs"/>
          <w:rtl/>
        </w:rPr>
        <w:t>ברי מפריס דהוא מעשה הדיוט</w:t>
      </w:r>
    </w:p>
    <w:p w:rsidR="00F638B7" w:rsidRDefault="00F638B7" w:rsidP="006D10D7">
      <w:pPr>
        <w:rPr>
          <w:rtl/>
        </w:rPr>
      </w:pPr>
      <w:r>
        <w:rPr>
          <w:rFonts w:hint="cs"/>
          <w:rtl/>
        </w:rPr>
        <w:t>יל"ע מהריטבא דף י', דמכשירי אוכ"נ מתירים הכל, צ"ל דכונתו לא למעשה אומן, אלא אפילו טרחה, א"כ למה דוקא אוכ"נ, צ"ל דדמי לגבשושית שהתירו בלא שינוי משום שאין טרחה ולכן מותר בלא שינוי, ובספרי המחברים כתבו דמקור לזה מהריטב"א. (א"ה לפ"ז מותר ריחיים בשינוי וסתום, ועי'</w:t>
      </w:r>
      <w:r w:rsidR="003D2821">
        <w:rPr>
          <w:rFonts w:hint="cs"/>
          <w:rtl/>
        </w:rPr>
        <w:t xml:space="preserve"> </w:t>
      </w:r>
      <w:r>
        <w:rPr>
          <w:rFonts w:hint="cs"/>
          <w:rtl/>
        </w:rPr>
        <w:t>משנ"ת לעיל).</w:t>
      </w:r>
    </w:p>
    <w:p w:rsidR="00F638B7" w:rsidRDefault="00F638B7" w:rsidP="006D10D7">
      <w:pPr>
        <w:rPr>
          <w:rtl/>
        </w:rPr>
      </w:pPr>
      <w:r>
        <w:rPr>
          <w:rFonts w:hint="cs"/>
          <w:rtl/>
        </w:rPr>
        <w:t>לכאורה מחלו' ר</w:t>
      </w:r>
      <w:r w:rsidR="003D2821">
        <w:rPr>
          <w:rFonts w:hint="cs"/>
          <w:rtl/>
        </w:rPr>
        <w:t>"</w:t>
      </w:r>
      <w:r>
        <w:rPr>
          <w:rFonts w:hint="cs"/>
          <w:rtl/>
        </w:rPr>
        <w:t>י ורבנן</w:t>
      </w:r>
      <w:r w:rsidR="003D2821">
        <w:rPr>
          <w:rFonts w:hint="cs"/>
          <w:rtl/>
        </w:rPr>
        <w:t xml:space="preserve"> הינה,</w:t>
      </w:r>
      <w:r>
        <w:rPr>
          <w:rFonts w:hint="cs"/>
          <w:rtl/>
        </w:rPr>
        <w:t xml:space="preserve"> אי ריחיים הוא מעשה אומן. כ"ה לפי דרכו של הריטבא דאסור אומנות. (הכל לפי גרסתינו).</w:t>
      </w:r>
      <w:r w:rsidR="003D2821">
        <w:rPr>
          <w:rFonts w:hint="cs"/>
          <w:rtl/>
        </w:rPr>
        <w:t xml:space="preserve"> וכן המחלוקת בגמרא רב יהודה ורב יחיאל בריחיים ישנות וחדשות. האם זה בהגדרת מעשה אומנות.</w:t>
      </w:r>
    </w:p>
    <w:p w:rsidR="003D2821" w:rsidRDefault="003D2821" w:rsidP="006D10D7">
      <w:pPr>
        <w:rPr>
          <w:rtl/>
        </w:rPr>
      </w:pPr>
      <w:r>
        <w:rPr>
          <w:rFonts w:hint="cs"/>
          <w:rtl/>
        </w:rPr>
        <w:t>ולהרמב"ן, טעמו של ר"י שאוסר, צ"ל דשיטת ר"י הוא כהריטב"א, דריחיים הוא מכשירי מכשירין, (וכמש"ב הרמב"ן לגבי איזלי).</w:t>
      </w:r>
    </w:p>
    <w:p w:rsidR="003D2821" w:rsidRDefault="003D2821" w:rsidP="006D10D7">
      <w:pPr>
        <w:rPr>
          <w:rtl/>
        </w:rPr>
      </w:pPr>
      <w:r>
        <w:rPr>
          <w:rFonts w:hint="cs"/>
          <w:rtl/>
        </w:rPr>
        <w:t>בתוה"ר ב' דיעות לב' פלוגתא דרב יהודה ורב יחיאל, (בד' ר"י ומינה נלמד לת"ק), אפשרות אחת, שהאוסר ניקור הוא משום שאפשר בלאו הכי, וכו'. (וצ"ל דהאיסור מתחיל ממעשה אומן דהרי מיירי בהרווחה והיה אפשר בלאו הכי).</w:t>
      </w:r>
    </w:p>
    <w:p w:rsidR="003D2821" w:rsidRDefault="003D2821" w:rsidP="006D10D7">
      <w:pPr>
        <w:rPr>
          <w:rtl/>
        </w:rPr>
      </w:pPr>
      <w:r>
        <w:rPr>
          <w:rFonts w:hint="cs"/>
          <w:rtl/>
        </w:rPr>
        <w:t>בדברי הט"ז בד' הרמב"ם דהדברים שהותרו כאן הוא אפילו שלא לצורך המועד.</w:t>
      </w:r>
      <w:r w:rsidR="004A7000">
        <w:rPr>
          <w:rFonts w:hint="cs"/>
          <w:rtl/>
        </w:rPr>
        <w:t xml:space="preserve"> והוא תמוה, ואולי כגבשושית...</w:t>
      </w:r>
    </w:p>
    <w:p w:rsidR="004A7000" w:rsidRDefault="004A7000" w:rsidP="006D10D7">
      <w:pPr>
        <w:rPr>
          <w:rtl/>
        </w:rPr>
      </w:pPr>
      <w:r>
        <w:rPr>
          <w:rFonts w:hint="cs"/>
          <w:rtl/>
        </w:rPr>
        <w:t>בתו'-י"ל דמעמידים ולא בונין היינו בנין באומנות.</w:t>
      </w: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Default="004333E8" w:rsidP="006D10D7">
      <w:pPr>
        <w:rPr>
          <w:rtl/>
        </w:rPr>
      </w:pPr>
    </w:p>
    <w:p w:rsidR="004333E8" w:rsidRPr="00FF04F3" w:rsidRDefault="004333E8" w:rsidP="006D10D7">
      <w:pPr>
        <w:rPr>
          <w:rtl/>
        </w:rPr>
      </w:pPr>
    </w:p>
    <w:sectPr w:rsidR="004333E8" w:rsidRPr="00FF04F3" w:rsidSect="009307A6">
      <w:footerReference w:type="default" r:id="rId8"/>
      <w:headerReference w:type="first" r:id="rId9"/>
      <w:foot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4FC" w:rsidRDefault="00C834FC" w:rsidP="009307A6">
      <w:r>
        <w:separator/>
      </w:r>
    </w:p>
  </w:endnote>
  <w:endnote w:type="continuationSeparator" w:id="0">
    <w:p w:rsidR="00C834FC" w:rsidRDefault="00C834FC" w:rsidP="009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9203919"/>
      <w:docPartObj>
        <w:docPartGallery w:val="Page Numbers (Bottom of Page)"/>
        <w:docPartUnique/>
      </w:docPartObj>
    </w:sdtPr>
    <w:sdtEndPr>
      <w:rPr>
        <w:cs/>
      </w:rPr>
    </w:sdtEndPr>
    <w:sdtContent>
      <w:p w:rsidR="00215534" w:rsidRDefault="00215534">
        <w:pPr>
          <w:pStyle w:val="a5"/>
          <w:jc w:val="center"/>
          <w:rPr>
            <w:rtl/>
            <w:cs/>
          </w:rPr>
        </w:pPr>
        <w:r>
          <w:fldChar w:fldCharType="begin"/>
        </w:r>
        <w:r>
          <w:rPr>
            <w:rtl/>
            <w:cs/>
          </w:rPr>
          <w:instrText>PAGE   \* MERGEFORMAT</w:instrText>
        </w:r>
        <w:r>
          <w:fldChar w:fldCharType="separate"/>
        </w:r>
        <w:r w:rsidR="004C0EC5" w:rsidRPr="004C0EC5">
          <w:rPr>
            <w:noProof/>
            <w:rtl/>
            <w:lang w:val="he-IL"/>
          </w:rPr>
          <w:t>7</w:t>
        </w:r>
        <w:r>
          <w:fldChar w:fldCharType="end"/>
        </w:r>
      </w:p>
    </w:sdtContent>
  </w:sdt>
  <w:p w:rsidR="00215534" w:rsidRDefault="00215534" w:rsidP="009307A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9834162"/>
      <w:docPartObj>
        <w:docPartGallery w:val="Page Numbers (Bottom of Page)"/>
        <w:docPartUnique/>
      </w:docPartObj>
    </w:sdtPr>
    <w:sdtEndPr>
      <w:rPr>
        <w:cs/>
      </w:rPr>
    </w:sdtEndPr>
    <w:sdtContent>
      <w:p w:rsidR="00215534" w:rsidRDefault="00215534">
        <w:pPr>
          <w:pStyle w:val="a5"/>
          <w:jc w:val="center"/>
          <w:rPr>
            <w:rtl/>
            <w:cs/>
          </w:rPr>
        </w:pPr>
        <w:r>
          <w:fldChar w:fldCharType="begin"/>
        </w:r>
        <w:r>
          <w:rPr>
            <w:rtl/>
            <w:cs/>
          </w:rPr>
          <w:instrText>PAGE   \* MERGEFORMAT</w:instrText>
        </w:r>
        <w:r>
          <w:fldChar w:fldCharType="separate"/>
        </w:r>
        <w:r w:rsidR="004C0EC5" w:rsidRPr="004C0EC5">
          <w:rPr>
            <w:noProof/>
            <w:rtl/>
            <w:lang w:val="he-IL"/>
          </w:rPr>
          <w:t>1</w:t>
        </w:r>
        <w:r>
          <w:fldChar w:fldCharType="end"/>
        </w:r>
      </w:p>
    </w:sdtContent>
  </w:sdt>
  <w:p w:rsidR="00215534" w:rsidRDefault="0021553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4FC" w:rsidRDefault="00C834FC" w:rsidP="009307A6">
      <w:r>
        <w:separator/>
      </w:r>
    </w:p>
  </w:footnote>
  <w:footnote w:type="continuationSeparator" w:id="0">
    <w:p w:rsidR="00C834FC" w:rsidRDefault="00C834FC" w:rsidP="009307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34" w:rsidRPr="009307A6" w:rsidRDefault="00215534" w:rsidP="009307A6">
    <w:pPr>
      <w:jc w:val="center"/>
      <w:rPr>
        <w:b/>
        <w:bCs/>
        <w:rtl/>
      </w:rPr>
    </w:pPr>
    <w:r w:rsidRPr="009307A6">
      <w:rPr>
        <w:rFonts w:hint="cs"/>
        <w:b/>
        <w:bCs/>
        <w:rtl/>
      </w:rPr>
      <w:t>סימן א' מלאכת חוה"מ דאורייתא או דרבנן</w:t>
    </w:r>
  </w:p>
  <w:p w:rsidR="00215534" w:rsidRDefault="00215534" w:rsidP="009307A6">
    <w:pPr>
      <w:pStyle w:val="a3"/>
      <w:jc w:val="center"/>
      <w:rPr>
        <w:rtl/>
      </w:rPr>
    </w:pPr>
  </w:p>
  <w:p w:rsidR="00215534" w:rsidRDefault="00215534" w:rsidP="009307A6">
    <w:pPr>
      <w:pStyle w:val="a3"/>
      <w:rPr>
        <w:rtl/>
      </w:rPr>
    </w:pPr>
    <w:r w:rsidRPr="009307A6">
      <w:rPr>
        <w:rFonts w:hint="cs"/>
        <w:rtl/>
      </w:rPr>
      <w:t xml:space="preserve"> </w:t>
    </w:r>
    <w:r>
      <w:rPr>
        <w:rFonts w:hint="cs"/>
        <w:rtl/>
      </w:rPr>
      <w:t xml:space="preserve">בס"ד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2C16"/>
    <w:multiLevelType w:val="hybridMultilevel"/>
    <w:tmpl w:val="6890BBCC"/>
    <w:lvl w:ilvl="0" w:tplc="AC526F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F5385"/>
    <w:multiLevelType w:val="hybridMultilevel"/>
    <w:tmpl w:val="BC42C7FE"/>
    <w:lvl w:ilvl="0" w:tplc="C7D60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F159C"/>
    <w:multiLevelType w:val="hybridMultilevel"/>
    <w:tmpl w:val="1C960226"/>
    <w:lvl w:ilvl="0" w:tplc="C3BC98B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0129BE"/>
    <w:multiLevelType w:val="hybridMultilevel"/>
    <w:tmpl w:val="4796A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68"/>
    <w:rsid w:val="00013131"/>
    <w:rsid w:val="00022962"/>
    <w:rsid w:val="000B1424"/>
    <w:rsid w:val="000C19F6"/>
    <w:rsid w:val="000C4B63"/>
    <w:rsid w:val="000C6D9E"/>
    <w:rsid w:val="00101F48"/>
    <w:rsid w:val="001219D5"/>
    <w:rsid w:val="00151E85"/>
    <w:rsid w:val="00152B01"/>
    <w:rsid w:val="00163B6A"/>
    <w:rsid w:val="0018153D"/>
    <w:rsid w:val="0019226E"/>
    <w:rsid w:val="001B024E"/>
    <w:rsid w:val="001B2745"/>
    <w:rsid w:val="001B3319"/>
    <w:rsid w:val="001F13A8"/>
    <w:rsid w:val="001F35C7"/>
    <w:rsid w:val="00215534"/>
    <w:rsid w:val="00223733"/>
    <w:rsid w:val="00224821"/>
    <w:rsid w:val="00241E53"/>
    <w:rsid w:val="002523A9"/>
    <w:rsid w:val="002B4997"/>
    <w:rsid w:val="002D67AB"/>
    <w:rsid w:val="00303B73"/>
    <w:rsid w:val="00312E03"/>
    <w:rsid w:val="00333847"/>
    <w:rsid w:val="00334C38"/>
    <w:rsid w:val="00373338"/>
    <w:rsid w:val="003C780D"/>
    <w:rsid w:val="003D2821"/>
    <w:rsid w:val="003D3328"/>
    <w:rsid w:val="003F3F7C"/>
    <w:rsid w:val="00406F6D"/>
    <w:rsid w:val="00423D00"/>
    <w:rsid w:val="004333E8"/>
    <w:rsid w:val="00443F3E"/>
    <w:rsid w:val="00447B2E"/>
    <w:rsid w:val="00456582"/>
    <w:rsid w:val="00463760"/>
    <w:rsid w:val="004674B3"/>
    <w:rsid w:val="00497637"/>
    <w:rsid w:val="004A0706"/>
    <w:rsid w:val="004A4D4C"/>
    <w:rsid w:val="004A7000"/>
    <w:rsid w:val="004B7D28"/>
    <w:rsid w:val="004C0994"/>
    <w:rsid w:val="004C0EC5"/>
    <w:rsid w:val="004C3465"/>
    <w:rsid w:val="004D5BE5"/>
    <w:rsid w:val="004E40FE"/>
    <w:rsid w:val="00505773"/>
    <w:rsid w:val="005142BD"/>
    <w:rsid w:val="00551D5D"/>
    <w:rsid w:val="0056536F"/>
    <w:rsid w:val="00565639"/>
    <w:rsid w:val="00566495"/>
    <w:rsid w:val="00596B28"/>
    <w:rsid w:val="00597B2F"/>
    <w:rsid w:val="005C772A"/>
    <w:rsid w:val="005C7FD0"/>
    <w:rsid w:val="005D500D"/>
    <w:rsid w:val="005D6DED"/>
    <w:rsid w:val="005F1B41"/>
    <w:rsid w:val="005F2174"/>
    <w:rsid w:val="005F5B79"/>
    <w:rsid w:val="0060521C"/>
    <w:rsid w:val="00612A7B"/>
    <w:rsid w:val="00634D6E"/>
    <w:rsid w:val="00646970"/>
    <w:rsid w:val="006633E4"/>
    <w:rsid w:val="0067432C"/>
    <w:rsid w:val="006C58A7"/>
    <w:rsid w:val="006D10D7"/>
    <w:rsid w:val="006F6D32"/>
    <w:rsid w:val="00706FC4"/>
    <w:rsid w:val="00717E44"/>
    <w:rsid w:val="00736C6F"/>
    <w:rsid w:val="00742637"/>
    <w:rsid w:val="00747141"/>
    <w:rsid w:val="0077548E"/>
    <w:rsid w:val="00783FB2"/>
    <w:rsid w:val="0079675A"/>
    <w:rsid w:val="007D2B45"/>
    <w:rsid w:val="007D55E4"/>
    <w:rsid w:val="007E3E04"/>
    <w:rsid w:val="007E6BCE"/>
    <w:rsid w:val="007F6454"/>
    <w:rsid w:val="0080529F"/>
    <w:rsid w:val="008259CC"/>
    <w:rsid w:val="00840770"/>
    <w:rsid w:val="008A2EAE"/>
    <w:rsid w:val="008B32FB"/>
    <w:rsid w:val="008B343C"/>
    <w:rsid w:val="008B3F03"/>
    <w:rsid w:val="008C1A29"/>
    <w:rsid w:val="008C6259"/>
    <w:rsid w:val="008D0420"/>
    <w:rsid w:val="008E14C5"/>
    <w:rsid w:val="008E6509"/>
    <w:rsid w:val="008F3E50"/>
    <w:rsid w:val="00925CEC"/>
    <w:rsid w:val="009307A6"/>
    <w:rsid w:val="009314EB"/>
    <w:rsid w:val="009360DF"/>
    <w:rsid w:val="00951BDE"/>
    <w:rsid w:val="009705D8"/>
    <w:rsid w:val="0097061B"/>
    <w:rsid w:val="00983042"/>
    <w:rsid w:val="00987D63"/>
    <w:rsid w:val="009C33D4"/>
    <w:rsid w:val="009C401F"/>
    <w:rsid w:val="009D4B22"/>
    <w:rsid w:val="009E190E"/>
    <w:rsid w:val="009E1C3C"/>
    <w:rsid w:val="00A242F6"/>
    <w:rsid w:val="00A4363E"/>
    <w:rsid w:val="00A76BD7"/>
    <w:rsid w:val="00A94A7C"/>
    <w:rsid w:val="00AA0539"/>
    <w:rsid w:val="00AB4DD0"/>
    <w:rsid w:val="00AB5254"/>
    <w:rsid w:val="00AB5F2B"/>
    <w:rsid w:val="00AB6CDB"/>
    <w:rsid w:val="00AC6FB1"/>
    <w:rsid w:val="00AE41F4"/>
    <w:rsid w:val="00B21D6E"/>
    <w:rsid w:val="00B34BC7"/>
    <w:rsid w:val="00B570D9"/>
    <w:rsid w:val="00B57983"/>
    <w:rsid w:val="00B73F3F"/>
    <w:rsid w:val="00B76FE1"/>
    <w:rsid w:val="00BA06E2"/>
    <w:rsid w:val="00BD19CE"/>
    <w:rsid w:val="00C26BE7"/>
    <w:rsid w:val="00C607D8"/>
    <w:rsid w:val="00C7764D"/>
    <w:rsid w:val="00C834FC"/>
    <w:rsid w:val="00C86FFD"/>
    <w:rsid w:val="00CB0EDB"/>
    <w:rsid w:val="00CB1108"/>
    <w:rsid w:val="00CE6D36"/>
    <w:rsid w:val="00CF0E00"/>
    <w:rsid w:val="00CF2C30"/>
    <w:rsid w:val="00D0688D"/>
    <w:rsid w:val="00D11D4D"/>
    <w:rsid w:val="00D575D5"/>
    <w:rsid w:val="00D82840"/>
    <w:rsid w:val="00D83D33"/>
    <w:rsid w:val="00DF3558"/>
    <w:rsid w:val="00E138E9"/>
    <w:rsid w:val="00E1784E"/>
    <w:rsid w:val="00E24E01"/>
    <w:rsid w:val="00E522A4"/>
    <w:rsid w:val="00E57589"/>
    <w:rsid w:val="00E61A68"/>
    <w:rsid w:val="00E7131D"/>
    <w:rsid w:val="00E73AB7"/>
    <w:rsid w:val="00E81714"/>
    <w:rsid w:val="00E905B3"/>
    <w:rsid w:val="00EA4A61"/>
    <w:rsid w:val="00EB39C8"/>
    <w:rsid w:val="00EB6F3E"/>
    <w:rsid w:val="00F067B5"/>
    <w:rsid w:val="00F338C7"/>
    <w:rsid w:val="00F35F93"/>
    <w:rsid w:val="00F37EA5"/>
    <w:rsid w:val="00F603B7"/>
    <w:rsid w:val="00F638B7"/>
    <w:rsid w:val="00F82789"/>
    <w:rsid w:val="00FC674C"/>
    <w:rsid w:val="00FF04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70B4D"/>
  <w15:chartTrackingRefBased/>
  <w15:docId w15:val="{7D86AEE6-13EC-46A0-8530-90554750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A6"/>
    <w:pPr>
      <w:bidi/>
      <w:jc w:val="both"/>
    </w:pPr>
    <w:rPr>
      <w:rFonts w:ascii="Narkisim" w:hAnsi="Narkisim" w:cs="Narkisim"/>
      <w:sz w:val="26"/>
      <w:szCs w:val="26"/>
    </w:rPr>
  </w:style>
  <w:style w:type="paragraph" w:styleId="1">
    <w:name w:val="heading 1"/>
    <w:basedOn w:val="a"/>
    <w:next w:val="a"/>
    <w:link w:val="10"/>
    <w:uiPriority w:val="9"/>
    <w:qFormat/>
    <w:rsid w:val="009307A6"/>
    <w:pPr>
      <w:jc w:val="center"/>
      <w:outlineLvl w:val="0"/>
    </w:pPr>
    <w:rPr>
      <w:b/>
      <w:bCs/>
      <w:u w:val="single"/>
    </w:rPr>
  </w:style>
  <w:style w:type="paragraph" w:styleId="2">
    <w:name w:val="heading 2"/>
    <w:basedOn w:val="a"/>
    <w:next w:val="a"/>
    <w:link w:val="20"/>
    <w:uiPriority w:val="9"/>
    <w:unhideWhenUsed/>
    <w:qFormat/>
    <w:rsid w:val="009E190E"/>
    <w:pPr>
      <w:spacing w:after="0" w:line="360" w:lineRule="auto"/>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7A6"/>
    <w:pPr>
      <w:tabs>
        <w:tab w:val="center" w:pos="4153"/>
        <w:tab w:val="right" w:pos="8306"/>
      </w:tabs>
      <w:spacing w:after="0" w:line="240" w:lineRule="auto"/>
    </w:pPr>
  </w:style>
  <w:style w:type="character" w:customStyle="1" w:styleId="a4">
    <w:name w:val="כותרת עליונה תו"/>
    <w:basedOn w:val="a0"/>
    <w:link w:val="a3"/>
    <w:uiPriority w:val="99"/>
    <w:rsid w:val="009307A6"/>
  </w:style>
  <w:style w:type="paragraph" w:styleId="a5">
    <w:name w:val="footer"/>
    <w:basedOn w:val="a"/>
    <w:link w:val="a6"/>
    <w:uiPriority w:val="99"/>
    <w:unhideWhenUsed/>
    <w:rsid w:val="009307A6"/>
    <w:pPr>
      <w:tabs>
        <w:tab w:val="center" w:pos="4153"/>
        <w:tab w:val="right" w:pos="8306"/>
      </w:tabs>
      <w:spacing w:after="0" w:line="240" w:lineRule="auto"/>
    </w:pPr>
  </w:style>
  <w:style w:type="character" w:customStyle="1" w:styleId="a6">
    <w:name w:val="כותרת תחתונה תו"/>
    <w:basedOn w:val="a0"/>
    <w:link w:val="a5"/>
    <w:uiPriority w:val="99"/>
    <w:rsid w:val="009307A6"/>
  </w:style>
  <w:style w:type="paragraph" w:styleId="a7">
    <w:name w:val="List Paragraph"/>
    <w:basedOn w:val="a"/>
    <w:uiPriority w:val="34"/>
    <w:qFormat/>
    <w:rsid w:val="009307A6"/>
    <w:pPr>
      <w:ind w:left="720"/>
      <w:contextualSpacing/>
    </w:pPr>
  </w:style>
  <w:style w:type="character" w:customStyle="1" w:styleId="20">
    <w:name w:val="כותרת 2 תו"/>
    <w:basedOn w:val="a0"/>
    <w:link w:val="2"/>
    <w:uiPriority w:val="9"/>
    <w:rsid w:val="009E190E"/>
    <w:rPr>
      <w:rFonts w:ascii="Narkisim" w:hAnsi="Narkisim" w:cs="Narkisim"/>
      <w:b/>
      <w:bCs/>
      <w:sz w:val="24"/>
      <w:szCs w:val="24"/>
      <w:u w:val="single"/>
    </w:rPr>
  </w:style>
  <w:style w:type="character" w:customStyle="1" w:styleId="10">
    <w:name w:val="כותרת 1 תו"/>
    <w:basedOn w:val="a0"/>
    <w:link w:val="1"/>
    <w:uiPriority w:val="9"/>
    <w:rsid w:val="009307A6"/>
    <w:rPr>
      <w:rFonts w:ascii="Narkisim" w:hAnsi="Narkisim" w:cs="Narkisim"/>
      <w:b/>
      <w:bCs/>
      <w:sz w:val="26"/>
      <w:szCs w:val="26"/>
      <w:u w:val="single"/>
    </w:rPr>
  </w:style>
  <w:style w:type="paragraph" w:styleId="a8">
    <w:name w:val="Subtitle"/>
    <w:basedOn w:val="a"/>
    <w:next w:val="a"/>
    <w:link w:val="a9"/>
    <w:uiPriority w:val="11"/>
    <w:qFormat/>
    <w:rsid w:val="00A94A7C"/>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a9">
    <w:name w:val="כותרת משנה תו"/>
    <w:basedOn w:val="a0"/>
    <w:link w:val="a8"/>
    <w:uiPriority w:val="11"/>
    <w:rsid w:val="00A94A7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D83B3-DBBB-41BA-B387-F805D491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7805</TotalTime>
  <Pages>1</Pages>
  <Words>2736</Words>
  <Characters>13681</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25</cp:revision>
  <dcterms:created xsi:type="dcterms:W3CDTF">2022-02-09T08:26:00Z</dcterms:created>
  <dcterms:modified xsi:type="dcterms:W3CDTF">2022-03-31T14:54:00Z</dcterms:modified>
</cp:coreProperties>
</file>